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065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CD181B" w14:paraId="7A9CED90" w14:textId="77777777">
        <w:trPr>
          <w:trHeight w:val="14411"/>
        </w:trPr>
        <w:tc>
          <w:tcPr>
            <w:tcW w:w="10065" w:type="dxa"/>
          </w:tcPr>
          <w:p w14:paraId="151F5CE6" w14:textId="77777777" w:rsidR="00CD181B" w:rsidRDefault="00000000">
            <w:pPr>
              <w:spacing w:line="0" w:lineRule="atLeas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Договор</w:t>
            </w:r>
          </w:p>
          <w:p w14:paraId="6F3B91DC" w14:textId="77777777" w:rsidR="00CD181B" w:rsidRDefault="00000000">
            <w:pPr>
              <w:spacing w:line="0" w:lineRule="atLeas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 транспортно-экспедиторское обслуживание</w:t>
            </w:r>
          </w:p>
          <w:p w14:paraId="5B578880" w14:textId="77777777" w:rsidR="00CD181B" w:rsidRDefault="00000000">
            <w:pPr>
              <w:spacing w:line="0" w:lineRule="atLeast"/>
              <w:jc w:val="center"/>
              <w:rPr>
                <w:b/>
                <w:bCs/>
              </w:rPr>
            </w:pPr>
            <w:r>
              <w:rPr>
                <w:b/>
                <w:bCs/>
                <w:lang w:val="kk-KZ"/>
              </w:rPr>
              <w:t xml:space="preserve">№ </w:t>
            </w:r>
            <w:proofErr w:type="spellStart"/>
            <w:r>
              <w:rPr>
                <w:b/>
                <w:bCs/>
                <w:lang w:val="en-US"/>
              </w:rPr>
              <w:t>Zh</w:t>
            </w:r>
            <w:proofErr w:type="spellEnd"/>
            <w:r>
              <w:rPr>
                <w:b/>
                <w:bCs/>
              </w:rPr>
              <w:t>-</w:t>
            </w:r>
            <w:r w:rsidRPr="00122038">
              <w:rPr>
                <w:b/>
                <w:bCs/>
              </w:rPr>
              <w:t>___</w:t>
            </w:r>
            <w:r>
              <w:rPr>
                <w:b/>
                <w:bCs/>
              </w:rPr>
              <w:t>/26</w:t>
            </w:r>
          </w:p>
          <w:p w14:paraId="481C7FC6" w14:textId="77777777" w:rsidR="00CD181B" w:rsidRDefault="00000000">
            <w:pPr>
              <w:spacing w:line="0" w:lineRule="atLeast"/>
              <w:rPr>
                <w:b/>
              </w:rPr>
            </w:pPr>
            <w:r>
              <w:t>г. Астана                                                                                                                             00.00.0000 г.</w:t>
            </w:r>
          </w:p>
          <w:p w14:paraId="085EB0A4" w14:textId="77777777" w:rsidR="00CD181B" w:rsidRDefault="00CD181B">
            <w:pPr>
              <w:spacing w:line="0" w:lineRule="atLeast"/>
              <w:jc w:val="both"/>
              <w:rPr>
                <w:b/>
              </w:rPr>
            </w:pPr>
          </w:p>
          <w:p w14:paraId="33AB31A9" w14:textId="77777777" w:rsidR="00CD181B" w:rsidRDefault="00000000">
            <w:pPr>
              <w:ind w:firstLine="459"/>
              <w:jc w:val="both"/>
              <w:rPr>
                <w:bCs/>
              </w:rPr>
            </w:pPr>
            <w:r>
              <w:rPr>
                <w:b/>
              </w:rPr>
              <w:t xml:space="preserve">ТОО «» </w:t>
            </w:r>
            <w:r>
              <w:rPr>
                <w:bCs/>
              </w:rPr>
              <w:t xml:space="preserve">именуемое в дальнейшем </w:t>
            </w:r>
            <w:r>
              <w:rPr>
                <w:b/>
                <w:bCs/>
              </w:rPr>
              <w:t>«Заказчик»</w:t>
            </w:r>
            <w:r>
              <w:rPr>
                <w:bCs/>
              </w:rPr>
              <w:t>, в лице Директора</w:t>
            </w:r>
            <w:r>
              <w:rPr>
                <w:b/>
              </w:rPr>
              <w:t xml:space="preserve">, </w:t>
            </w:r>
            <w:r>
              <w:rPr>
                <w:bCs/>
              </w:rPr>
              <w:t>действующего на основании Устава, и</w:t>
            </w:r>
          </w:p>
          <w:p w14:paraId="499CEF12" w14:textId="77777777" w:rsidR="00CD181B" w:rsidRDefault="00000000">
            <w:pPr>
              <w:ind w:firstLine="459"/>
              <w:jc w:val="both"/>
              <w:rPr>
                <w:bCs/>
              </w:rPr>
            </w:pPr>
            <w:r>
              <w:rPr>
                <w:bCs/>
              </w:rPr>
              <w:t xml:space="preserve"> </w:t>
            </w:r>
            <w:r>
              <w:rPr>
                <w:b/>
                <w:bCs/>
                <w:lang w:eastAsia="en-US"/>
              </w:rPr>
              <w:t>ТОО «</w:t>
            </w:r>
            <w:proofErr w:type="spellStart"/>
            <w:r>
              <w:rPr>
                <w:b/>
                <w:bCs/>
                <w:lang w:val="en-US" w:eastAsia="en-US"/>
              </w:rPr>
              <w:t>Zharyq</w:t>
            </w:r>
            <w:proofErr w:type="spellEnd"/>
            <w:r>
              <w:rPr>
                <w:b/>
                <w:bCs/>
                <w:lang w:eastAsia="en-US"/>
              </w:rPr>
              <w:t xml:space="preserve"> </w:t>
            </w:r>
            <w:r>
              <w:rPr>
                <w:b/>
                <w:bCs/>
                <w:lang w:val="en-US" w:eastAsia="en-US"/>
              </w:rPr>
              <w:t>Logistics</w:t>
            </w:r>
            <w:r>
              <w:rPr>
                <w:b/>
                <w:bCs/>
                <w:lang w:eastAsia="en-US"/>
              </w:rPr>
              <w:t xml:space="preserve">» </w:t>
            </w:r>
            <w:r>
              <w:rPr>
                <w:bCs/>
                <w:lang w:eastAsia="en-US"/>
              </w:rPr>
              <w:t>именуемое в дальнейшем</w:t>
            </w:r>
            <w:r>
              <w:rPr>
                <w:b/>
                <w:bCs/>
                <w:lang w:eastAsia="en-US"/>
              </w:rPr>
              <w:t xml:space="preserve"> «Экспедитор», </w:t>
            </w:r>
            <w:r>
              <w:rPr>
                <w:bCs/>
                <w:lang w:eastAsia="en-US"/>
              </w:rPr>
              <w:t>в лице Директор</w:t>
            </w:r>
            <w:r>
              <w:rPr>
                <w:b/>
                <w:bCs/>
                <w:lang w:eastAsia="en-US"/>
              </w:rPr>
              <w:t xml:space="preserve">а </w:t>
            </w:r>
            <w:proofErr w:type="spellStart"/>
            <w:r>
              <w:rPr>
                <w:b/>
                <w:bCs/>
                <w:lang w:eastAsia="en-US"/>
              </w:rPr>
              <w:t>Мырзабек</w:t>
            </w:r>
            <w:proofErr w:type="spellEnd"/>
            <w:r>
              <w:rPr>
                <w:b/>
                <w:bCs/>
                <w:lang w:eastAsia="en-US"/>
              </w:rPr>
              <w:t xml:space="preserve"> </w:t>
            </w:r>
            <w:proofErr w:type="spellStart"/>
            <w:r>
              <w:rPr>
                <w:b/>
                <w:bCs/>
                <w:lang w:eastAsia="en-US"/>
              </w:rPr>
              <w:t>Бақжан</w:t>
            </w:r>
            <w:proofErr w:type="spellEnd"/>
            <w:r>
              <w:rPr>
                <w:b/>
                <w:bCs/>
                <w:lang w:eastAsia="en-US"/>
              </w:rPr>
              <w:t xml:space="preserve"> </w:t>
            </w:r>
            <w:proofErr w:type="spellStart"/>
            <w:r>
              <w:rPr>
                <w:b/>
                <w:bCs/>
                <w:lang w:eastAsia="en-US"/>
              </w:rPr>
              <w:t>Нұрғалиұлы</w:t>
            </w:r>
            <w:proofErr w:type="spellEnd"/>
            <w:r>
              <w:rPr>
                <w:b/>
                <w:bCs/>
                <w:lang w:eastAsia="en-US"/>
              </w:rPr>
              <w:t xml:space="preserve">, </w:t>
            </w:r>
            <w:r>
              <w:rPr>
                <w:bCs/>
                <w:lang w:eastAsia="en-US"/>
              </w:rPr>
              <w:t>действующего на основании Устава</w:t>
            </w:r>
            <w:r>
              <w:rPr>
                <w:bCs/>
                <w:color w:val="000000"/>
                <w:lang w:eastAsia="en-US"/>
              </w:rPr>
              <w:t>, с</w:t>
            </w:r>
            <w:r>
              <w:rPr>
                <w:bCs/>
                <w:lang w:eastAsia="en-US"/>
              </w:rPr>
              <w:t xml:space="preserve"> другой стороны, совместно именуемые</w:t>
            </w:r>
            <w:r>
              <w:rPr>
                <w:b/>
                <w:bCs/>
                <w:lang w:eastAsia="en-US"/>
              </w:rPr>
              <w:t xml:space="preserve"> «Стороны», </w:t>
            </w:r>
            <w:r>
              <w:rPr>
                <w:bCs/>
                <w:lang w:eastAsia="en-US"/>
              </w:rPr>
              <w:t>заключили настоящий Договор о нижеследующем:</w:t>
            </w:r>
          </w:p>
          <w:p w14:paraId="248C54BE" w14:textId="77777777" w:rsidR="00CD181B" w:rsidRDefault="00CD181B">
            <w:pPr>
              <w:spacing w:line="0" w:lineRule="atLeast"/>
              <w:jc w:val="both"/>
              <w:rPr>
                <w:b/>
              </w:rPr>
            </w:pPr>
          </w:p>
          <w:p w14:paraId="369BB046" w14:textId="77777777" w:rsidR="00CD181B" w:rsidRDefault="00000000">
            <w:pPr>
              <w:spacing w:line="0" w:lineRule="atLeast"/>
              <w:jc w:val="center"/>
            </w:pPr>
            <w:r>
              <w:rPr>
                <w:b/>
              </w:rPr>
              <w:t>1. Предмет договора.</w:t>
            </w:r>
          </w:p>
          <w:p w14:paraId="0DC65090" w14:textId="77777777" w:rsidR="00CD181B" w:rsidRDefault="00000000">
            <w:pPr>
              <w:pStyle w:val="ad"/>
              <w:jc w:val="both"/>
            </w:pPr>
            <w:r>
              <w:t xml:space="preserve">      1.1. Экспедитор обязуется за вознаграждение за счет Заказчика организовать выполнение транспортно-экспедиторского обслуживания, связанного с перевозкой грузов Заказчика автомобильным, железнодорожным, морским, авиа и иным видами транспорта, в дальнейшем по тексту «ТЭО» Груза Заказчика, а Заказчик обязуется оплатить стоимость перевозки Груза согласно разделу 3 настоящего договора. </w:t>
            </w:r>
          </w:p>
          <w:p w14:paraId="0C0D63B5" w14:textId="77777777" w:rsidR="00CD181B" w:rsidRDefault="00000000">
            <w:pPr>
              <w:pStyle w:val="ad"/>
              <w:jc w:val="both"/>
            </w:pPr>
            <w:r>
              <w:t xml:space="preserve">     1.2. В качестве дополнительных услуг по письменному согласованию Заказчику могут быть оказаны услуги по получению требующихся для экспорта или импорта документов, выполнению таможенных и иных формальностей, проверки количества и состояния груза, его погрузка и выгрузка, уплата пошлин, сборов и других расходов, возлагаемых на Заказчика, хранение груза, его получение в пункте назначения, а также выполнение иных операций и услуг. </w:t>
            </w:r>
          </w:p>
          <w:p w14:paraId="78B6BD7D" w14:textId="77777777" w:rsidR="00CD181B" w:rsidRDefault="00000000">
            <w:pPr>
              <w:pStyle w:val="ad"/>
              <w:jc w:val="both"/>
              <w:rPr>
                <w:rFonts w:ascii="Arial" w:hAnsi="Arial" w:cs="Arial"/>
                <w:color w:val="000099"/>
              </w:rPr>
            </w:pPr>
            <w:r>
              <w:t xml:space="preserve">     1.3. Транспортировка груза происходит согласно Варшавской Конвенции 1929 г., Гаагского протокола об изменениях в Варшавской Конвенции 1955 г., Монреальского протокола 1975 г., Монреальской Конвенции 1999 г., ИАТА положений, Международной Конвенции об унификации некоторых условий коносаментов (Гаагские правила) – если перевозка осуществляется авиационным транспортом. Конвенцией о договоре международной перевозке грузов 1956 г. (КДПГ) – если перевозка осуществляется автомобильным транспортом. Соглашением о международном железнодорожном грузовом сообщении 1951 г. (СМГС), Бернской Конвенцией о международных железнодорожных перевозках 1980 г. -  если перевозка осуществляется железнодорожным транспортом</w:t>
            </w:r>
            <w:r>
              <w:rPr>
                <w:rFonts w:ascii="Arial" w:hAnsi="Arial" w:cs="Arial"/>
                <w:i/>
                <w:iCs/>
                <w:color w:val="000099"/>
              </w:rPr>
              <w:t>.</w:t>
            </w:r>
          </w:p>
          <w:p w14:paraId="15906118" w14:textId="77777777" w:rsidR="00CD181B" w:rsidRDefault="00CD181B">
            <w:pPr>
              <w:spacing w:line="0" w:lineRule="atLeast"/>
              <w:ind w:right="34"/>
              <w:jc w:val="both"/>
            </w:pPr>
          </w:p>
          <w:p w14:paraId="5EE992C9" w14:textId="77777777" w:rsidR="00CD181B" w:rsidRDefault="00000000">
            <w:pPr>
              <w:spacing w:line="0" w:lineRule="atLeast"/>
              <w:ind w:right="34"/>
              <w:jc w:val="both"/>
            </w:pPr>
            <w:r>
              <w:t xml:space="preserve">     1.4.  Условия перевозок, маршрут, номенклатура груза, объем, ставки и особые условия оговариваются Сторонами в Транспортной заявке, являющейся неотъемлемой частью настоящего Договора. Условия, оговоренные в конкретной транспортной заявке, имеют преимущественное право по отношению к условиям настоящего Договора.</w:t>
            </w:r>
          </w:p>
          <w:p w14:paraId="41B10448" w14:textId="77777777" w:rsidR="00CD181B" w:rsidRDefault="00CD181B">
            <w:pPr>
              <w:spacing w:line="0" w:lineRule="atLeast"/>
              <w:ind w:right="34"/>
              <w:jc w:val="both"/>
            </w:pPr>
          </w:p>
          <w:p w14:paraId="3EFE2123" w14:textId="77777777" w:rsidR="00CD181B" w:rsidRDefault="00000000">
            <w:pPr>
              <w:spacing w:line="0" w:lineRule="atLeast"/>
              <w:ind w:right="34"/>
              <w:jc w:val="both"/>
            </w:pPr>
            <w:r>
              <w:t xml:space="preserve">    1.5. При исполнении обязательств по настоящему Договору Экспедитор действует по поручению и за счет Заказчика и имеет право привлекать третьих лиц для исполнения своих обязательств по настоящему Договору. При этом ответственность за действия привлеченных третьих лиц в полном объеме лежит на Экспедиторе.</w:t>
            </w:r>
          </w:p>
          <w:p w14:paraId="364A1388" w14:textId="77777777" w:rsidR="00CD181B" w:rsidRDefault="00CD181B">
            <w:pPr>
              <w:spacing w:line="0" w:lineRule="atLeast"/>
              <w:jc w:val="both"/>
              <w:rPr>
                <w:b/>
              </w:rPr>
            </w:pPr>
          </w:p>
          <w:p w14:paraId="52DC1DC0" w14:textId="77777777" w:rsidR="00CD181B" w:rsidRDefault="00000000">
            <w:pPr>
              <w:spacing w:line="0" w:lineRule="atLeast"/>
              <w:jc w:val="center"/>
              <w:rPr>
                <w:b/>
              </w:rPr>
            </w:pPr>
            <w:r>
              <w:rPr>
                <w:b/>
              </w:rPr>
              <w:t>2. Права и обязанности сторон.</w:t>
            </w:r>
          </w:p>
          <w:p w14:paraId="616E2451" w14:textId="77777777" w:rsidR="00CD181B" w:rsidRDefault="00000000">
            <w:pPr>
              <w:tabs>
                <w:tab w:val="left" w:pos="4536"/>
              </w:tabs>
              <w:spacing w:line="0" w:lineRule="atLeast"/>
              <w:jc w:val="both"/>
              <w:rPr>
                <w:b/>
              </w:rPr>
            </w:pPr>
            <w:r>
              <w:rPr>
                <w:b/>
              </w:rPr>
              <w:t>2.1. Экспедитор обязуется:</w:t>
            </w:r>
          </w:p>
          <w:p w14:paraId="597421E6" w14:textId="77777777" w:rsidR="00CD181B" w:rsidRDefault="00000000">
            <w:pPr>
              <w:pStyle w:val="33"/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2.1.1. Организовать перевозку груза Заказчика согласно Транспортной заявке;</w:t>
            </w:r>
          </w:p>
          <w:p w14:paraId="574552AA" w14:textId="77777777" w:rsidR="00CD181B" w:rsidRDefault="00000000">
            <w:pPr>
              <w:pStyle w:val="33"/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2.1.2. Информировать Заказчика о местонахождении и продвижении транспортного средства по пути следования раз в 3 (три) календарных дня посредством факса, телефонной связи или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e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mail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, либо по запросу Заказчика;</w:t>
            </w:r>
          </w:p>
          <w:p w14:paraId="198122FF" w14:textId="77777777" w:rsidR="00CD181B" w:rsidRDefault="00000000">
            <w:pPr>
              <w:pStyle w:val="33"/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2.1.3. Передать Заказчику акт выполненных работ, с выставлением электронного счета фактуры;</w:t>
            </w:r>
          </w:p>
          <w:p w14:paraId="0A283EF2" w14:textId="77777777" w:rsidR="00CD181B" w:rsidRDefault="00000000">
            <w:pPr>
              <w:pStyle w:val="33"/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2.1.4. Сообщать письменно Заказчику обо всех обнаруженных несоответствиях, недостатках, неполноте полученной первичной информации от Заказчика касательно груза, документов и других существенных моментах, при этом обязуется произвести дополнительный запрос для уточнения фактических данных;</w:t>
            </w:r>
          </w:p>
          <w:p w14:paraId="45038721" w14:textId="77777777" w:rsidR="00CD181B" w:rsidRDefault="00000000">
            <w:pPr>
              <w:pStyle w:val="33"/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lastRenderedPageBreak/>
              <w:t>2.1.5. Информировать Заказчика обо всех и любых обстоятельствах, негативно влияющих или способных повлиять на сохранность груза, своевременную доставку груза и/или надлежащее исполнение перевозчиком своих обязательств по договору.</w:t>
            </w:r>
          </w:p>
          <w:p w14:paraId="3363E630" w14:textId="77777777" w:rsidR="00CD181B" w:rsidRDefault="00000000">
            <w:pPr>
              <w:pStyle w:val="33"/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2.1.6. Отправлять фотоотчет при погрузке и разгрузке товара. </w:t>
            </w:r>
          </w:p>
          <w:p w14:paraId="1A829A2E" w14:textId="77777777" w:rsidR="00CD181B" w:rsidRDefault="00000000">
            <w:pPr>
              <w:pStyle w:val="33"/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2.1.7. Обеспечить размещение и крепление  груза (при условии что нет дополнительных требований по креплению груза) Заказчика в транспортном средстве, согласно письменной инструкции отправителя по размещению груза, при этом механическая погрузка обеспечивается силами отправителя.</w:t>
            </w:r>
          </w:p>
          <w:p w14:paraId="1F6188EA" w14:textId="77777777" w:rsidR="00CD181B" w:rsidRDefault="00000000">
            <w:pPr>
              <w:pStyle w:val="33"/>
              <w:spacing w:line="0" w:lineRule="atLeas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RU"/>
              </w:rPr>
              <w:t>2.2.      Экспедитор имеет право:</w:t>
            </w:r>
          </w:p>
          <w:p w14:paraId="7BCE474E" w14:textId="77777777" w:rsidR="00CD181B" w:rsidRDefault="00000000">
            <w:pPr>
              <w:pStyle w:val="33"/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2.2.1. Получать от Заказчика полную и точную информацию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o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 характеристике груза.</w:t>
            </w:r>
          </w:p>
          <w:p w14:paraId="3392746C" w14:textId="77777777" w:rsidR="00CD181B" w:rsidRDefault="00000000">
            <w:pPr>
              <w:pStyle w:val="33"/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2.2.2. В случае если характеристики груза существенно отличаются от указанных Заказчиком в транспортной заявке, требовать соответствующего изменения стоимости перевозки.</w:t>
            </w:r>
          </w:p>
          <w:p w14:paraId="14891B18" w14:textId="77777777" w:rsidR="00CD181B" w:rsidRDefault="00000000">
            <w:pPr>
              <w:pStyle w:val="33"/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2.2.3. Удерживать находящийся в его распоряжении груз до полного погашения Заказчиком задолженности перед Экспедитором или предоставления Заказчиком надлежащего обеспечения исполнения своих обязательств по оплате счетов Экспедитора. В этом случае Заказчик также оплачивает расходы, связанные с удержанием груза. За возникшую порчу груза вследствие его удержания Экспедитором в случаях, предусмотренных настоящим пунктом, ответственность несет Заказчик.</w:t>
            </w:r>
          </w:p>
          <w:p w14:paraId="6AE1229C" w14:textId="77777777" w:rsidR="00CD181B" w:rsidRDefault="00000000">
            <w:pPr>
              <w:spacing w:line="0" w:lineRule="atLeast"/>
              <w:jc w:val="both"/>
              <w:rPr>
                <w:b/>
              </w:rPr>
            </w:pPr>
            <w:r>
              <w:rPr>
                <w:b/>
              </w:rPr>
              <w:t>2.3. Заказчик обязуется:</w:t>
            </w:r>
          </w:p>
          <w:p w14:paraId="59F9B208" w14:textId="77777777" w:rsidR="00CD181B" w:rsidRDefault="00000000">
            <w:pPr>
              <w:spacing w:line="0" w:lineRule="atLeast"/>
              <w:jc w:val="both"/>
              <w:rPr>
                <w:bCs/>
              </w:rPr>
            </w:pPr>
            <w:r>
              <w:t>2.3.1. Подать Экспедитору заявку в письменном виде не позднее, чем за 3 (три) календарных дня до начала выполнения перевозки. В заявке должны быть указаны все данные о характере, размере, весе, упаковке груза, количестве мест, месте отправления и назначения, дате готовности груза к перевозке, объявленной стоимости груза, указанные в транспортной заявке;</w:t>
            </w:r>
          </w:p>
          <w:p w14:paraId="5B2FC462" w14:textId="77777777" w:rsidR="00CD181B" w:rsidRDefault="00000000">
            <w:pPr>
              <w:spacing w:line="0" w:lineRule="atLeast"/>
              <w:jc w:val="both"/>
              <w:rPr>
                <w:bCs/>
              </w:rPr>
            </w:pPr>
            <w:r>
              <w:rPr>
                <w:bCs/>
              </w:rPr>
              <w:t>2.3.2. Инструктировать Экспедитора об условиях перевозки груза определенного вида – опасные, бьющиеся, легковоспламеняющиеся, представляющие высокую художественную ценность и другие грузы, перевозка которых должна осуществляться при соблюдении особых условий. В том случае если Заказчик не укажет особые свойства перевозимых грузов и не даст в отношении этих грузов специальных инструкций для перевозки, Экспедитор не несет ответственности за порчу и гибель этих грузов, связанную с несоблюдением в отношении этих грузов особых условий перевозки.</w:t>
            </w:r>
          </w:p>
          <w:p w14:paraId="528DB785" w14:textId="77777777" w:rsidR="00CD181B" w:rsidRDefault="00000000">
            <w:pPr>
              <w:spacing w:line="0" w:lineRule="atLeast"/>
              <w:jc w:val="both"/>
              <w:rPr>
                <w:bCs/>
              </w:rPr>
            </w:pPr>
            <w:r>
              <w:t xml:space="preserve"> 2.3.3. Обеспечивать готовность груза к перевозке (организовывать упаковку груза и оформление перевозочных документов) до прибытия транспортного средства Перевозчика на место погрузки. Обеспечивать загрузку предоставленного Перевозчиком транспортного средства в сроки, определенные в Транспортной заявке, передать груз без повреждений.</w:t>
            </w:r>
          </w:p>
          <w:p w14:paraId="21C653F1" w14:textId="77777777" w:rsidR="00CD181B" w:rsidRDefault="00000000">
            <w:pPr>
              <w:spacing w:line="0" w:lineRule="atLeast"/>
              <w:jc w:val="both"/>
              <w:rPr>
                <w:bCs/>
              </w:rPr>
            </w:pPr>
            <w:r>
              <w:rPr>
                <w:bCs/>
              </w:rPr>
              <w:t>2.3.4. Обеспечить своими силами и средствами погрузку/разгрузку груза.</w:t>
            </w:r>
          </w:p>
          <w:p w14:paraId="508F0A3C" w14:textId="77777777" w:rsidR="00CD181B" w:rsidRDefault="00000000">
            <w:pPr>
              <w:tabs>
                <w:tab w:val="left" w:pos="3836"/>
              </w:tabs>
              <w:jc w:val="both"/>
              <w:rPr>
                <w:bCs/>
              </w:rPr>
            </w:pPr>
            <w:r>
              <w:t xml:space="preserve">2.3.5. </w:t>
            </w:r>
            <w:r>
              <w:rPr>
                <w:bCs/>
              </w:rPr>
              <w:t>Своевременно предоставить документы и другую информацию о свойствах груза, условиях его перевозки, а также иную информацию на перевозимый груз, гарантирующих полный беспрепятственный проезд через государственные границы стран отправителя, назначения и транзитных государств.</w:t>
            </w:r>
          </w:p>
          <w:p w14:paraId="1A8876CB" w14:textId="77777777" w:rsidR="00CD181B" w:rsidRDefault="00000000">
            <w:pPr>
              <w:spacing w:line="0" w:lineRule="atLeast"/>
              <w:jc w:val="both"/>
              <w:rPr>
                <w:bCs/>
              </w:rPr>
            </w:pPr>
            <w:r>
              <w:rPr>
                <w:bCs/>
              </w:rPr>
              <w:t xml:space="preserve"> 2.3.6. Обеспечить лицензирование и декларирование или получение других официальных разрешений, необходимых для вывоза/ввоза груза в соответствии с действующим законодательством Республики Казахстан и других государств, по территории которых осуществляется перевозка груза.</w:t>
            </w:r>
          </w:p>
          <w:p w14:paraId="0041F8CE" w14:textId="77777777" w:rsidR="00CD181B" w:rsidRDefault="00000000">
            <w:pPr>
              <w:spacing w:line="0" w:lineRule="atLeast"/>
              <w:jc w:val="both"/>
              <w:rPr>
                <w:bCs/>
              </w:rPr>
            </w:pPr>
            <w:r>
              <w:rPr>
                <w:bCs/>
              </w:rPr>
              <w:t xml:space="preserve">2.3.7. Предоставлять все необходимые документы, в том числе лицензии, контракты, таможенные декларации, сертификаты количества и качества, а также другие документы, необходимые для выполнения Экспедитором своих обязательств. </w:t>
            </w:r>
          </w:p>
          <w:p w14:paraId="7DF2AD01" w14:textId="77777777" w:rsidR="00CD181B" w:rsidRDefault="00000000">
            <w:pPr>
              <w:spacing w:line="0" w:lineRule="atLeast"/>
              <w:jc w:val="both"/>
              <w:rPr>
                <w:bCs/>
              </w:rPr>
            </w:pPr>
            <w:r>
              <w:rPr>
                <w:bCs/>
              </w:rPr>
              <w:t>2.3.8. Своевременно производить оплату за оказанные услуги Экспедитором согласно разделу 3 настоящего договора</w:t>
            </w:r>
            <w:r>
              <w:t xml:space="preserve"> в независимости от возможного наступления страхового случая</w:t>
            </w:r>
            <w:r>
              <w:rPr>
                <w:bCs/>
              </w:rPr>
              <w:t>.</w:t>
            </w:r>
          </w:p>
          <w:p w14:paraId="61E40C14" w14:textId="77777777" w:rsidR="00CD181B" w:rsidRDefault="00000000">
            <w:pPr>
              <w:spacing w:line="0" w:lineRule="atLeast"/>
              <w:jc w:val="both"/>
              <w:rPr>
                <w:bCs/>
              </w:rPr>
            </w:pPr>
            <w:r>
              <w:t>2.3.9. Оплатить любые дополнительные расходы, более высокие ставки, или прочие расходы, понесенные Экспедитором в результате неточности информации, предоставленной Заказчиком в транспортной заявке, заполнения накладных с нарушением инструкции Экспедитора. Дополнительные расходы являются обязательством Заказчика и оплачиваются им в дополнение ко всем обязательствам, предусмотренными настоящим Договором.</w:t>
            </w:r>
          </w:p>
          <w:p w14:paraId="04B04824" w14:textId="77777777" w:rsidR="00CD181B" w:rsidRDefault="00000000">
            <w:pPr>
              <w:numPr>
                <w:ilvl w:val="1"/>
                <w:numId w:val="4"/>
              </w:numPr>
              <w:spacing w:line="0" w:lineRule="atLeast"/>
              <w:jc w:val="both"/>
              <w:rPr>
                <w:b/>
              </w:rPr>
            </w:pPr>
            <w:r>
              <w:rPr>
                <w:b/>
              </w:rPr>
              <w:lastRenderedPageBreak/>
              <w:t>Заказчик имеет право:</w:t>
            </w:r>
          </w:p>
          <w:p w14:paraId="79CC3DA1" w14:textId="77777777" w:rsidR="00CD181B" w:rsidRDefault="00000000">
            <w:pPr>
              <w:numPr>
                <w:ilvl w:val="2"/>
                <w:numId w:val="4"/>
              </w:numPr>
              <w:spacing w:line="0" w:lineRule="atLeast"/>
              <w:jc w:val="both"/>
              <w:rPr>
                <w:bCs/>
              </w:rPr>
            </w:pPr>
            <w:r>
              <w:rPr>
                <w:bCs/>
              </w:rPr>
              <w:t xml:space="preserve">Осуществить страхование груза от всех видов риска, используя Экспедитора в качестве страхового агента. </w:t>
            </w:r>
          </w:p>
          <w:p w14:paraId="2B653E4E" w14:textId="77777777" w:rsidR="00CD181B" w:rsidRDefault="00000000">
            <w:pPr>
              <w:numPr>
                <w:ilvl w:val="2"/>
                <w:numId w:val="4"/>
              </w:numPr>
              <w:spacing w:line="0" w:lineRule="atLeast"/>
              <w:jc w:val="both"/>
              <w:rPr>
                <w:bCs/>
              </w:rPr>
            </w:pPr>
            <w:r>
              <w:rPr>
                <w:bCs/>
              </w:rPr>
              <w:t xml:space="preserve">В любое время запрашивать информацию о статусе перевозки груза, а также иную информацию, связанную с настоящим Договором. </w:t>
            </w:r>
          </w:p>
          <w:p w14:paraId="6613F0B4" w14:textId="77777777" w:rsidR="00CD181B" w:rsidRDefault="00CD181B">
            <w:pPr>
              <w:spacing w:line="0" w:lineRule="atLeast"/>
              <w:ind w:left="720"/>
              <w:jc w:val="both"/>
              <w:rPr>
                <w:bCs/>
              </w:rPr>
            </w:pPr>
          </w:p>
          <w:p w14:paraId="26061657" w14:textId="77777777" w:rsidR="00CD181B" w:rsidRDefault="00CD181B">
            <w:pPr>
              <w:spacing w:line="0" w:lineRule="atLeast"/>
              <w:jc w:val="both"/>
              <w:rPr>
                <w:b/>
                <w:lang w:val="kk-KZ"/>
              </w:rPr>
            </w:pPr>
          </w:p>
          <w:p w14:paraId="5293BF20" w14:textId="77777777" w:rsidR="00CD181B" w:rsidRDefault="00000000">
            <w:pPr>
              <w:spacing w:line="0" w:lineRule="atLeast"/>
              <w:ind w:left="450"/>
              <w:jc w:val="center"/>
            </w:pPr>
            <w:r>
              <w:rPr>
                <w:b/>
              </w:rPr>
              <w:t>3.</w:t>
            </w:r>
            <w:r>
              <w:t xml:space="preserve"> </w:t>
            </w:r>
            <w:r>
              <w:rPr>
                <w:b/>
              </w:rPr>
              <w:t>Порядок расчетов между сторонами.</w:t>
            </w:r>
          </w:p>
          <w:p w14:paraId="09181F52" w14:textId="77777777" w:rsidR="00CD181B" w:rsidRDefault="00000000">
            <w:pPr>
              <w:spacing w:line="0" w:lineRule="atLeast"/>
              <w:jc w:val="both"/>
            </w:pPr>
            <w:r>
              <w:t xml:space="preserve">  3.1. Стоимость услуг согласовывается сторонами и указывается в соответствующем Приложении к настоящему договору.</w:t>
            </w:r>
          </w:p>
          <w:p w14:paraId="7D764774" w14:textId="77777777" w:rsidR="00CD181B" w:rsidRDefault="00000000">
            <w:pPr>
              <w:spacing w:line="0" w:lineRule="atLeast"/>
              <w:jc w:val="both"/>
            </w:pPr>
            <w:r>
              <w:t xml:space="preserve">  3.2.  Условия оплаты – 100 % </w:t>
            </w:r>
            <w:r>
              <w:rPr>
                <w:lang w:val="kk-KZ"/>
              </w:rPr>
              <w:t>пред</w:t>
            </w:r>
            <w:r>
              <w:t xml:space="preserve">оплата в течение 3 (трех) рабочих дней на основании выставленного Экспедитором счета, если иные условия не указаны в Транспортной заявке. </w:t>
            </w:r>
          </w:p>
          <w:p w14:paraId="3DA035F6" w14:textId="77777777" w:rsidR="00CD181B" w:rsidRDefault="00000000">
            <w:pPr>
              <w:spacing w:line="0" w:lineRule="atLeast"/>
              <w:jc w:val="both"/>
            </w:pPr>
            <w:r>
              <w:t xml:space="preserve">  3.3.  Стоимость услуг является фиксированной и может изменяться Экспедитором в одностороннем порядке в случаях, если фактические данные груза (вес, объем, стоимость товара и </w:t>
            </w:r>
            <w:proofErr w:type="spellStart"/>
            <w:r>
              <w:t>тд</w:t>
            </w:r>
            <w:proofErr w:type="spellEnd"/>
            <w:r>
              <w:t>) будут отличаться от данных которые Заказчик предоставил ранее с предварительным уведомлением Заказчика. Окончательные расчеты между сторонами производятся в соответствии с фактическими результатами перевозки на основании актов выполненных работ и счетов-фактур, в течение 5 (пяти) банковских дней с момента подписания акта выполненных работ Экспедитора.</w:t>
            </w:r>
          </w:p>
          <w:p w14:paraId="4642EBEB" w14:textId="77777777" w:rsidR="00CD181B" w:rsidRDefault="00000000">
            <w:pPr>
              <w:spacing w:line="0" w:lineRule="atLeast"/>
              <w:jc w:val="both"/>
            </w:pPr>
            <w:r>
              <w:t xml:space="preserve">    3.4.  Заказчик обязан подписать и возвратить Экспедитору оригинал акта выполненных работ или предоставить свои мотивированные возражения по нему в течение 3 (трех) рабочих дней с момента получения акта от Экспедитора.  Если в указанный срок Заказчик не предоставит Экспедитору подписанный оригинал акта выполненных работ или свои возражения по нему, данный акт будет считаться принятым Заказчиком без возражений и иметь полную юридическую силу и доказательственное значение.</w:t>
            </w:r>
          </w:p>
          <w:p w14:paraId="10617023" w14:textId="77777777" w:rsidR="00CD181B" w:rsidRDefault="00000000">
            <w:pPr>
              <w:spacing w:line="0" w:lineRule="atLeast"/>
              <w:jc w:val="both"/>
            </w:pPr>
            <w:r>
              <w:t xml:space="preserve">   3.5. </w:t>
            </w:r>
            <w:r>
              <w:rPr>
                <w:lang w:val="en-US"/>
              </w:rPr>
              <w:t>C</w:t>
            </w:r>
            <w:r>
              <w:t>умма перевозки подлежит пересмотру в сторону увеличения в случае изменении курса доллара США к тенге, установленного для юр. лицам Народным Банком Республики Казахстан (далее для юр. лиц НБ РК) более чем на 3% после подписания Заявки. Заказчик обязуется произвести оплату по следующей формуле Цена перевозки = стоимость, указанная в Заявке (счет на оплату) * К (где, К=соотношение курса доллара США к тенге установленная для юр. лицам НБ РК на момент оплаты/на соотношение курса доллара США к тенге для юр. лиц НБ РК на дату подписания Заявки) – перерасчет стоимости производится путем извещения Заказчика по данным указанным в реквизитах сторон.</w:t>
            </w:r>
          </w:p>
          <w:p w14:paraId="0517B96C" w14:textId="77777777" w:rsidR="00CD181B" w:rsidRDefault="00000000">
            <w:pPr>
              <w:pStyle w:val="13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</w:rPr>
              <w:t xml:space="preserve">     3.6. </w:t>
            </w:r>
            <w:r>
              <w:rPr>
                <w:sz w:val="24"/>
                <w:szCs w:val="24"/>
                <w:lang w:eastAsia="ru-RU"/>
              </w:rPr>
              <w:t>Все расходы, связанные с переводом денежных сумм на расчетный счет Экспедитора, производятся за счет Заказчика.</w:t>
            </w:r>
          </w:p>
          <w:p w14:paraId="7A311B61" w14:textId="77777777" w:rsidR="00CD181B" w:rsidRDefault="00CD181B">
            <w:pPr>
              <w:spacing w:line="0" w:lineRule="atLeast"/>
              <w:jc w:val="both"/>
            </w:pPr>
          </w:p>
          <w:p w14:paraId="48F44C74" w14:textId="77777777" w:rsidR="00CD181B" w:rsidRDefault="00000000">
            <w:pPr>
              <w:spacing w:line="0" w:lineRule="atLeast"/>
              <w:ind w:left="360"/>
              <w:jc w:val="center"/>
              <w:rPr>
                <w:b/>
              </w:rPr>
            </w:pPr>
            <w:r>
              <w:rPr>
                <w:b/>
              </w:rPr>
              <w:t>4. Ответственность сторон.</w:t>
            </w:r>
          </w:p>
          <w:p w14:paraId="5F25CD7D" w14:textId="77777777" w:rsidR="00CD181B" w:rsidRDefault="00000000">
            <w:pPr>
              <w:pStyle w:val="aff3"/>
              <w:ind w:left="34" w:firstLine="283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4.1. В случае просрочки оплаты по настоящему Договору, Заказчик выплачивает Экспедитору пеню в размере 1% за каждый календарный день просрочки платежа.</w:t>
            </w:r>
          </w:p>
          <w:p w14:paraId="48491BF6" w14:textId="77777777" w:rsidR="00CD181B" w:rsidRDefault="00000000">
            <w:pPr>
              <w:pStyle w:val="aff3"/>
              <w:ind w:left="34"/>
              <w:rPr>
                <w:rFonts w:ascii="Times New Roman" w:hAnsi="Times New Roman"/>
                <w:strike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    4.2.  Экспедитор несет ответственность перед Заказчиком в виде возмещения фактически понесенного ущерба за утрату, недостачу или повреждение (порчу) груза после принятия его Экспедитором и до выдачи груза получателю, либо уполномоченному им лицу, если не докажет, что утрата, недостача или повреждение (порча) груза произошли вследствие обстоятельств, которые Экспедитор не мог предотвратить и устранение которых от него не зависело.</w:t>
            </w:r>
            <w:r>
              <w:rPr>
                <w:rFonts w:ascii="Times New Roman" w:hAnsi="Times New Roman"/>
                <w:strike/>
                <w:sz w:val="24"/>
                <w:szCs w:val="24"/>
                <w:lang w:val="ru-RU"/>
              </w:rPr>
              <w:t xml:space="preserve"> </w:t>
            </w:r>
          </w:p>
          <w:p w14:paraId="37C28742" w14:textId="77777777" w:rsidR="00CD181B" w:rsidRDefault="00000000">
            <w:pPr>
              <w:pStyle w:val="aff3"/>
              <w:ind w:left="34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Ни при каких обстоятельствах Заказчик и Экспедитор не несут ответственности за косвенные убытки (включая упущенную выгоду), понесенные сторонами.</w:t>
            </w:r>
          </w:p>
          <w:p w14:paraId="3CCBAF1E" w14:textId="77777777" w:rsidR="00CD181B" w:rsidRDefault="00000000">
            <w:pPr>
              <w:pStyle w:val="aff3"/>
              <w:ind w:left="34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    4.3. Экспедитор не несет ответственности за изменение качества груза вследствие естественных причин, связанных с перевозкой груза, норм естественной убыли (усушка, утряска, выветривание и т.п.) или погрешностей измерения массы нетто, если разница между массой груза, определенной на железнодорожной станции назначения, не превышает погрешности измерения массы нетто такого груза, а также норму естественной убыли его массы, установленной нормативными актами РК.</w:t>
            </w:r>
          </w:p>
          <w:p w14:paraId="6D09D7F4" w14:textId="77777777" w:rsidR="00CD181B" w:rsidRDefault="00000000">
            <w:pPr>
              <w:pStyle w:val="aff3"/>
              <w:ind w:left="34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 xml:space="preserve">    4.4. Экспедитор не несет ответственности по настоящему Договору в случае введения государственными органами, на территории которых происходит перевозка, конвенционных запрещений на отгрузку/прием груза определенными станциям/портами и при наличии задолженности у Заказчика (грузоотправителя Заказчика) перед железной дорогой, портом, как по настоящему договору, так и по договорам, заключенным ранее Заказчиком (грузоотправителем Заказчика) на период действия указанных факторов. В случае возникновения таких запрещений Экспедитор незамедлительно информирует Заказчика об этом.</w:t>
            </w:r>
          </w:p>
          <w:p w14:paraId="2DAEA57A" w14:textId="77777777" w:rsidR="00CD181B" w:rsidRDefault="00000000">
            <w:pPr>
              <w:pStyle w:val="aff3"/>
              <w:ind w:firstLine="317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4.5.  Экспедитор не несет ответственности перед Заказчиком за повреждение груза, сданного к перевозке в ненадлежащей таре, упаковке (либо без таковой).</w:t>
            </w:r>
          </w:p>
          <w:p w14:paraId="200EFA49" w14:textId="77777777" w:rsidR="00CD181B" w:rsidRDefault="00000000">
            <w:pPr>
              <w:pStyle w:val="aff3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   4.6.  В случае не выполнения п. 2.3.5.</w:t>
            </w:r>
            <w:r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 Экспедитор не несет ответственности перед Заказчиком за простой транспортного средства. В этом случае Заказчик обязуется компенсировать все затраты Экспедитора, вызванные не предоставлением вышеуказанных документов.</w:t>
            </w:r>
          </w:p>
          <w:p w14:paraId="79A48880" w14:textId="77777777" w:rsidR="00CD181B" w:rsidRDefault="00000000">
            <w:pPr>
              <w:pStyle w:val="aff3"/>
              <w:ind w:left="34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   4.7. Выплата штрафных санкций не освобождает Стороны от исполнения обязательств по настоящему договору.</w:t>
            </w:r>
          </w:p>
          <w:p w14:paraId="3815895E" w14:textId="77777777" w:rsidR="00CD181B" w:rsidRDefault="00000000">
            <w:pPr>
              <w:pStyle w:val="aff3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   4.8. При утере Груза, частичной или полной непригодности Груза</w:t>
            </w: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,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произошедшего в результате перевозки, Экспедитор содействует в возмещении Заказчику стоимости нанесенного материального ущерба в соответствии с правилами страховой компании и страхового полиса, если Экспедитор был использован в качестве страхового агента Заказчика при страховании груза по соответствующему Приложению.</w:t>
            </w:r>
          </w:p>
          <w:p w14:paraId="2D43A029" w14:textId="77777777" w:rsidR="00CD181B" w:rsidRDefault="00000000">
            <w:pPr>
              <w:pStyle w:val="aff3"/>
              <w:ind w:left="34" w:firstLine="283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4.9. В случае срыва перевозки по вине Заказчика ( груз не предъявлен к перевозке в течении 24 часов с момента подачи транспортного средства на погрузку, либо параметры /наименование предъявляемого груза не соответствуют условиям Заявки, либо Заказчик отказался от согласованной Заявки на перевозку менее чем за 3 дня  до даты подачи транспортного средства под погрузку) Заказчик оплачивает Экспедитору фактические расходы на организацию данной перевозки, а также штраф в размере 20% от стоимости перевозки.</w:t>
            </w:r>
          </w:p>
          <w:p w14:paraId="1664038A" w14:textId="77777777" w:rsidR="00CD181B" w:rsidRDefault="00000000">
            <w:pPr>
              <w:pStyle w:val="aff3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   4.10.  За действия, приведшие к простою транспортного средства, Заказчик несет материальную ответственность в размере штрафа, предъявленного транспортной организацией.</w:t>
            </w:r>
          </w:p>
          <w:p w14:paraId="15E872EB" w14:textId="77777777" w:rsidR="00CD181B" w:rsidRDefault="00000000">
            <w:pPr>
              <w:pStyle w:val="aff3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   4.11. В случае отказа Заказчика от перевозки после того, как экспедитор произвел какие-либо действия по выполнению обязательств по настоящему Договору, Заказчик обязан компенсировать Экспедитору все фактически понесенные им расходы в связи с исполнением Транспортной заявки Заказчика, а также штраф в размере 20% от стоимости перевозки.</w:t>
            </w:r>
          </w:p>
          <w:p w14:paraId="118D542D" w14:textId="77777777" w:rsidR="00CD181B" w:rsidRDefault="00000000">
            <w:pPr>
              <w:pStyle w:val="aff3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  4.12 Экспедитор несет ответственность за задержку доставки груза перед Заказчиком в размере 1% за каждый календарный день просрочки, но не более 50% от общей стоимости услуг исходя из соответствующей транспортной заявки.</w:t>
            </w:r>
          </w:p>
          <w:p w14:paraId="75E2FBAA" w14:textId="77777777" w:rsidR="00CD181B" w:rsidRDefault="00CD181B">
            <w:pPr>
              <w:pStyle w:val="aff3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14:paraId="1FDDA73D" w14:textId="77777777" w:rsidR="00CD181B" w:rsidRDefault="00CD181B">
            <w:pPr>
              <w:pStyle w:val="aff3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14:paraId="15659A04" w14:textId="77777777" w:rsidR="00CD181B" w:rsidRDefault="00000000">
            <w:pPr>
              <w:pStyle w:val="25"/>
              <w:spacing w:line="0" w:lineRule="atLeast"/>
              <w:ind w:right="0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5. Страхование.</w:t>
            </w:r>
          </w:p>
          <w:p w14:paraId="75D25089" w14:textId="77777777" w:rsidR="00CD181B" w:rsidRDefault="00000000">
            <w:pPr>
              <w:pStyle w:val="aff3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 5.1.  В случае, если Экспедитор был использован в качестве страхового агента Заказчика при страховании груза, при наступлении страхового случая, Экспедитор содействует Заказчику в сборе документов, необходимых для предоставления в страховую компанию. Список документов оговаривается в каждом отдельном случае.</w:t>
            </w:r>
          </w:p>
          <w:p w14:paraId="206883BE" w14:textId="77777777" w:rsidR="00CD181B" w:rsidRDefault="00000000">
            <w:pPr>
              <w:pStyle w:val="aff3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 5.2. При наступлении страхового случая, Заказчик обязуется:</w:t>
            </w:r>
          </w:p>
          <w:p w14:paraId="6492E01F" w14:textId="77777777" w:rsidR="00CD181B" w:rsidRDefault="00000000">
            <w:pPr>
              <w:pStyle w:val="aff3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  -  известить Экспедитора в течение 2 (двух) рабочих дней с момента наступления такового;</w:t>
            </w:r>
          </w:p>
          <w:p w14:paraId="71ACE5C4" w14:textId="77777777" w:rsidR="00CD181B" w:rsidRDefault="00000000">
            <w:pPr>
              <w:pStyle w:val="aff3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   - вызвать эксперта Торгово-Промышленной Палаты (Национальной палаты предпринимателей) в случае целостности пломб;</w:t>
            </w:r>
          </w:p>
          <w:p w14:paraId="10F78E9C" w14:textId="77777777" w:rsidR="00CD181B" w:rsidRDefault="00000000">
            <w:pPr>
              <w:pStyle w:val="aff3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   - вызвать независимого сюрвейера/аварийного комиссара, в случае нарушения порядка         пломбирования, повреждения либо отсутствия пломб, а также несоответствия номеров пломб.</w:t>
            </w:r>
          </w:p>
          <w:p w14:paraId="0426BAA3" w14:textId="77777777" w:rsidR="00CD181B" w:rsidRDefault="00000000">
            <w:pPr>
              <w:pStyle w:val="aff3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  Расходы, по хранению груза на складе, относятся на счет Заказчика и оплачиваются                                                                            им дополнительно.</w:t>
            </w:r>
          </w:p>
          <w:p w14:paraId="5CD2A906" w14:textId="77777777" w:rsidR="00CD181B" w:rsidRDefault="00000000">
            <w:pPr>
              <w:pStyle w:val="aff3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 5.3. Заказчик имеет полное право воспользоваться услугами другого страхового агента либо страховой компании. В этом случае, Заказчик обязуется известить Экспедитора об этом и, в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 xml:space="preserve">течение 2 (двух) суток после даты осуществления страхования, выслать копию страхового полиса. Дата страхования груза указана в страховом полисе по соответствующему грузу. </w:t>
            </w:r>
          </w:p>
          <w:p w14:paraId="18AB32A9" w14:textId="77777777" w:rsidR="00CD181B" w:rsidRDefault="00000000">
            <w:pPr>
              <w:pStyle w:val="aff3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  5.4. В случае, если Заказчик воспользовался услугами другого страхового агента/страховой компании, при наступления страхового случая Заказчик обязуется, в установленный законодательством Республики Казахстан срок, известить свою страховую компанию/страхового агента о наступлении такового. В данной ситуации Заказчик самостоятельно осуществляет сбор необходимых документов. </w:t>
            </w:r>
          </w:p>
          <w:p w14:paraId="7AC32AF3" w14:textId="77777777" w:rsidR="00CD181B" w:rsidRDefault="00CD181B">
            <w:pPr>
              <w:pStyle w:val="25"/>
              <w:spacing w:line="0" w:lineRule="atLeast"/>
              <w:ind w:right="0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14:paraId="2C5396E7" w14:textId="77777777" w:rsidR="00CD181B" w:rsidRDefault="00000000">
            <w:pPr>
              <w:pStyle w:val="25"/>
              <w:spacing w:line="0" w:lineRule="atLeast"/>
              <w:ind w:left="360" w:right="0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6. </w:t>
            </w: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Претензии.</w:t>
            </w:r>
          </w:p>
          <w:p w14:paraId="1DD0E1AE" w14:textId="77777777" w:rsidR="00CD181B" w:rsidRDefault="00000000">
            <w:pPr>
              <w:pStyle w:val="25"/>
              <w:spacing w:line="0" w:lineRule="atLeast"/>
              <w:ind w:right="0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    6.1.  Претензии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могут быть заявлены в порядке, предусмотренном законодательными актами о транспорте и в пределах установленного срока исковой давности. Претензии, касающиеся вопросов повреждения груза, недостачи, иных дефектов груза  должны подтверждаться актом, составленным с участием представителя регионального отделения Торгово-промышленной палаты (Национальной палаты предпринимателей) или страхового агента Экспедитора. Расходы по вызову эксперта ТПП/НПП либо независимого сюрвейера (аварийного комиссариата), страхового агента несет Заказчик.</w:t>
            </w:r>
          </w:p>
          <w:p w14:paraId="716E87CE" w14:textId="77777777" w:rsidR="00CD181B" w:rsidRDefault="00000000">
            <w:pPr>
              <w:pStyle w:val="33"/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    6.2. Если претензия не заявлена в установленный срок, теряется право предъявлять требования, касающиеся поставленного груза. В Претензии необходимо указывать количество и наименование груза, по которому предъявляется рекламация. </w:t>
            </w:r>
          </w:p>
          <w:p w14:paraId="385CE17F" w14:textId="77777777" w:rsidR="00CD181B" w:rsidRDefault="00000000">
            <w:pPr>
              <w:pStyle w:val="33"/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    6.3. Претензии предъявляются заказным письмом с приложением всех необходимых, документов, подтверждающих рекламацию.</w:t>
            </w:r>
          </w:p>
          <w:p w14:paraId="5E43A21F" w14:textId="77777777" w:rsidR="00CD181B" w:rsidRDefault="00CD181B">
            <w:pPr>
              <w:pStyle w:val="33"/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</w:pPr>
          </w:p>
          <w:p w14:paraId="63AF690F" w14:textId="77777777" w:rsidR="00CD181B" w:rsidRDefault="00000000">
            <w:pPr>
              <w:pStyle w:val="25"/>
              <w:spacing w:line="0" w:lineRule="atLeast"/>
              <w:ind w:left="360" w:right="0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7. Порядок расторжения договора.</w:t>
            </w:r>
          </w:p>
          <w:p w14:paraId="5B5E5092" w14:textId="77777777" w:rsidR="00CD181B" w:rsidRDefault="00000000">
            <w:pPr>
              <w:pStyle w:val="25"/>
              <w:spacing w:line="0" w:lineRule="atLeast"/>
              <w:ind w:right="0"/>
              <w:rPr>
                <w:rFonts w:ascii="Times New Roman" w:hAnsi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 7.1. Настоящий договор может быть расторгнут только по взаимному согласию сторон.</w:t>
            </w:r>
          </w:p>
          <w:p w14:paraId="4C45CF00" w14:textId="77777777" w:rsidR="00CD181B" w:rsidRDefault="00000000">
            <w:pPr>
              <w:pStyle w:val="25"/>
              <w:spacing w:line="0" w:lineRule="atLeast"/>
              <w:ind w:right="0"/>
              <w:rPr>
                <w:rFonts w:ascii="Times New Roman" w:hAnsi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7.2. Сторона, инициирующая расторжение, обязана направить другой стороне письменное уведомление о расторжении не менее чем за 30 (тридцать) календарных дней до предполагаемой даты расторжения. Письменное уведомление о расторжении направляется по почте заказным письмом.</w:t>
            </w:r>
          </w:p>
          <w:p w14:paraId="2D23044C" w14:textId="77777777" w:rsidR="00CD181B" w:rsidRDefault="00000000">
            <w:pPr>
              <w:pStyle w:val="aff3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7.3. Сторона, получившая уведомление о расторжении, обязана в течение 5 (пять) календарных дней, от дня получения уведомления, направить другой стороне письменный ответ. </w:t>
            </w:r>
          </w:p>
          <w:p w14:paraId="3368B486" w14:textId="77777777" w:rsidR="00CD181B" w:rsidRDefault="00000000">
            <w:pPr>
              <w:pStyle w:val="aff3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7.4. Решение сторон о расторжении настоящего договора оформляется дополнительным соглашением.</w:t>
            </w:r>
          </w:p>
          <w:p w14:paraId="52E23525" w14:textId="77777777" w:rsidR="00CD181B" w:rsidRDefault="00000000">
            <w:pPr>
              <w:pStyle w:val="aff3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7.5. Договор считается расторгнутым после завершения всех перевозок по обязательствам сторон, принятым до уведомления о расторжении Договора и расчетов за осуществленные перевозки.</w:t>
            </w:r>
          </w:p>
          <w:p w14:paraId="4B1DBCAF" w14:textId="77777777" w:rsidR="00CD181B" w:rsidRDefault="00CD181B">
            <w:pPr>
              <w:pStyle w:val="aff3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14:paraId="4EDC6329" w14:textId="77777777" w:rsidR="00CD181B" w:rsidRDefault="00000000">
            <w:pPr>
              <w:pStyle w:val="aff3"/>
              <w:ind w:left="360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  <w:t>8. Форс-мажор.</w:t>
            </w:r>
          </w:p>
          <w:p w14:paraId="77D4F0B6" w14:textId="77777777" w:rsidR="00CD181B" w:rsidRDefault="00000000">
            <w:pPr>
              <w:tabs>
                <w:tab w:val="left" w:pos="426"/>
              </w:tabs>
              <w:spacing w:line="20" w:lineRule="atLeast"/>
              <w:jc w:val="both"/>
            </w:pPr>
            <w:r>
              <w:t xml:space="preserve">  8.1. Ни одна из Сторон не будет нести ответственность за полное или частичное невыполнение любой из своих обязанностей, если неисполнение будет являться следствием таких обстоятельств, как наводнение, пожар, землетрясение и другие стихийные бедствия, эмбарго, война или военные действия, а также запретительные меры государственной власти, возникших после заключения настоящего договора, и иных обстоятельств, предусмотренных законодательством.</w:t>
            </w:r>
          </w:p>
          <w:p w14:paraId="3F2367A2" w14:textId="77777777" w:rsidR="00CD181B" w:rsidRDefault="00000000">
            <w:pPr>
              <w:tabs>
                <w:tab w:val="left" w:pos="426"/>
              </w:tabs>
              <w:spacing w:line="20" w:lineRule="atLeast"/>
              <w:jc w:val="both"/>
            </w:pPr>
            <w:r>
              <w:t xml:space="preserve"> 8.2. Сторона, для которой создалась невозможность исполнения обязательства, о наступлении, предполагаемом сроке действия и прекращения вышеуказанных обстоятельств, обязана немедленно, однако не позднее 20 (двадцати) дней с момента их наступления и прекращения, в письменной форме уведомить другую Сторону. Факты, изложенные в уведомлении, должны быть подтверждены Торговой (Торгово-промышленной) палатой или иным компетентным органом или организацией страны возникновения форс-мажорных обстоятельств. Не уведомление или несвоевременное уведомление лишает Сторону права ссылаться на любое вышеуказанное обстоятельство как на основание, освобождающее от ответственности за неисполнение обязательств.</w:t>
            </w:r>
          </w:p>
          <w:p w14:paraId="4C4B92E2" w14:textId="77777777" w:rsidR="00CD181B" w:rsidRDefault="00000000">
            <w:pPr>
              <w:pStyle w:val="aff3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 xml:space="preserve">  8.3. В случае если действие </w:t>
            </w:r>
            <w:r>
              <w:rPr>
                <w:rFonts w:ascii="Times New Roman" w:eastAsia="Arial Unicode MS" w:hAnsi="Times New Roman"/>
                <w:sz w:val="24"/>
                <w:szCs w:val="24"/>
                <w:lang w:val="ru-RU"/>
              </w:rPr>
              <w:t>форс-мажорных</w:t>
            </w:r>
            <w:r>
              <w:rPr>
                <w:rFonts w:ascii="Times New Roman" w:eastAsia="Arial Unicode MS" w:hAnsi="Times New Roman"/>
                <w:sz w:val="18"/>
                <w:szCs w:val="18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обстоятельств продлится более 30 (тридцати) дней, Стороны обязуются провести переговоры с целью выработки взаимоприемлемого решения. Если в течение последующих 2 (двух) недель стороны не смогут договориться, то </w:t>
            </w:r>
            <w:r>
              <w:rPr>
                <w:rFonts w:ascii="Times New Roman" w:eastAsia="Arial Unicode MS" w:hAnsi="Times New Roman"/>
                <w:sz w:val="24"/>
                <w:szCs w:val="24"/>
                <w:lang w:val="ru-RU"/>
              </w:rPr>
              <w:t xml:space="preserve">стороны имеют право расторгнуть настоящий Договор. При этом в обязательном порядке проводятся взаиморасчеты между Сторонами по соответствию объемов оказанных услуг по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транспортно-экспедиторскому обслуживанию</w:t>
            </w:r>
            <w:r>
              <w:rPr>
                <w:rFonts w:ascii="Times New Roman" w:eastAsia="Arial Unicode MS" w:hAnsi="Times New Roman"/>
                <w:sz w:val="24"/>
                <w:szCs w:val="24"/>
                <w:lang w:val="ru-RU"/>
              </w:rPr>
              <w:t xml:space="preserve"> и проведенным Заказчикам платежам на момент расторжения настоящего Договора.</w:t>
            </w:r>
          </w:p>
          <w:p w14:paraId="0A4ECA90" w14:textId="77777777" w:rsidR="00CD181B" w:rsidRDefault="00000000">
            <w:pPr>
              <w:pStyle w:val="25"/>
              <w:spacing w:line="0" w:lineRule="atLeast"/>
              <w:ind w:left="360" w:right="0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9.Порядок разрешения споров.</w:t>
            </w:r>
          </w:p>
          <w:p w14:paraId="0BBD9D5B" w14:textId="77777777" w:rsidR="00CD181B" w:rsidRDefault="00000000">
            <w:pPr>
              <w:pStyle w:val="25"/>
              <w:spacing w:line="0" w:lineRule="atLeast"/>
              <w:ind w:right="0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 9.1. Все споры и разногласия, возникшие при исполнении сторонами обязательств по настоящему Договору, будут решаться сторонами путем переговоров, а при невозможности достижения соглашения решаются в специализированном межрайонном экономическом суде г. Астана.</w:t>
            </w:r>
          </w:p>
          <w:p w14:paraId="044A5187" w14:textId="77777777" w:rsidR="00CD181B" w:rsidRDefault="00000000">
            <w:pPr>
              <w:pStyle w:val="25"/>
              <w:spacing w:line="0" w:lineRule="atLeast"/>
              <w:ind w:left="34" w:right="0" w:firstLine="326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10. Прочие условия.</w:t>
            </w:r>
          </w:p>
          <w:p w14:paraId="322654A0" w14:textId="77777777" w:rsidR="00CD181B" w:rsidRDefault="00000000">
            <w:pPr>
              <w:pStyle w:val="35"/>
              <w:ind w:left="0" w:firstLine="0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  10.1. Каждая из Сторон по настоящему Договору обязуется сохранять строгую конфиденциальность финансовой, коммерческой и прочей информации, полученной от другой Стороны.</w:t>
            </w:r>
          </w:p>
          <w:p w14:paraId="03895AE4" w14:textId="77777777" w:rsidR="00CD181B" w:rsidRDefault="00000000">
            <w:pPr>
              <w:pStyle w:val="35"/>
              <w:ind w:left="0" w:firstLine="0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  10.2. В случае изменения банковских реквизитов или юридического адреса, стороны обязуются предупредить друг друга в письменной форме в течение 3 (трех) дней с даты изменения таковых.</w:t>
            </w:r>
          </w:p>
          <w:p w14:paraId="47708B5C" w14:textId="77777777" w:rsidR="00CD181B" w:rsidRDefault="00000000">
            <w:pPr>
              <w:pStyle w:val="35"/>
              <w:ind w:left="0" w:firstLine="0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  10.3. Все изменения и дополнения к настоящему Договору действительны лишь в том случае, если они совершены в письменной форме и подписаны уполномоченными представителями обеих сторон.</w:t>
            </w:r>
          </w:p>
          <w:p w14:paraId="439F1A8B" w14:textId="77777777" w:rsidR="00CD181B" w:rsidRDefault="00000000">
            <w:pPr>
              <w:pStyle w:val="35"/>
              <w:ind w:left="0" w:firstLine="0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  10.4. Во всем остальном, что не предусмотрено настоящим договором, стороны руководствуются действующим законодательством Республики Казахстан.</w:t>
            </w:r>
          </w:p>
          <w:p w14:paraId="49CA2355" w14:textId="77777777" w:rsidR="00CD181B" w:rsidRDefault="00000000">
            <w:pPr>
              <w:pStyle w:val="35"/>
              <w:ind w:left="0" w:firstLine="0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  10.5. После подписания Договора все предыдущие переговоры и переписка теряют силу.</w:t>
            </w:r>
          </w:p>
          <w:p w14:paraId="6ABA4FBD" w14:textId="77777777" w:rsidR="00CD181B" w:rsidRDefault="00000000">
            <w:pPr>
              <w:pStyle w:val="aff7"/>
              <w:tabs>
                <w:tab w:val="left" w:pos="4308"/>
              </w:tabs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 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ab/>
            </w:r>
          </w:p>
          <w:p w14:paraId="0891FA07" w14:textId="77777777" w:rsidR="00CD181B" w:rsidRDefault="00000000">
            <w:pPr>
              <w:pStyle w:val="2"/>
              <w:spacing w:before="0" w:after="0"/>
              <w:ind w:left="360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11. Срок действия договора.</w:t>
            </w:r>
          </w:p>
          <w:p w14:paraId="63319563" w14:textId="77777777" w:rsidR="00CD181B" w:rsidRDefault="00000000">
            <w:pPr>
              <w:ind w:right="109"/>
              <w:jc w:val="both"/>
            </w:pPr>
            <w:r>
              <w:t xml:space="preserve">   11.1. Настоящий Договор вступает в силу с момента подписания и действует до 31 декабря 2026 года. Договор будет считаться продленным на каждый следующий календарный год, если ни одна из сторон не сделает письменного заявления о прекращении действия договора за 30 (тридцать) календарных дней до истечения срока его действия.</w:t>
            </w:r>
          </w:p>
          <w:p w14:paraId="003CF5AC" w14:textId="77777777" w:rsidR="00CD181B" w:rsidRDefault="00000000">
            <w:pPr>
              <w:ind w:right="109"/>
              <w:jc w:val="both"/>
            </w:pPr>
            <w:r>
              <w:t xml:space="preserve">   11.2. Прекращение договора не освобождает стороны от окончательного выполнения обязательств друг перед другом, возникших до прекращения договора.</w:t>
            </w:r>
          </w:p>
          <w:p w14:paraId="3DA980E1" w14:textId="77777777" w:rsidR="00CD181B" w:rsidRDefault="00CD181B">
            <w:pPr>
              <w:ind w:left="360"/>
              <w:jc w:val="both"/>
            </w:pPr>
          </w:p>
          <w:p w14:paraId="2AC216D3" w14:textId="77777777" w:rsidR="00CD181B" w:rsidRDefault="0000000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12. Юридические адреса и банковские реквизиты сторон:</w:t>
            </w:r>
          </w:p>
          <w:tbl>
            <w:tblPr>
              <w:tblW w:w="989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991"/>
              <w:gridCol w:w="4903"/>
            </w:tblGrid>
            <w:tr w:rsidR="00CD181B" w14:paraId="3CA7D778" w14:textId="77777777" w:rsidTr="00122038">
              <w:trPr>
                <w:trHeight w:val="5659"/>
              </w:trPr>
              <w:tc>
                <w:tcPr>
                  <w:tcW w:w="4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F271C5" w14:textId="77777777" w:rsidR="00CD181B" w:rsidRDefault="00000000">
                  <w:pPr>
                    <w:spacing w:line="240" w:lineRule="atLeast"/>
                    <w:ind w:right="-40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lastRenderedPageBreak/>
                    <w:t>Экспедитор:</w:t>
                  </w:r>
                </w:p>
                <w:p w14:paraId="5A037997" w14:textId="77777777" w:rsidR="00CD181B" w:rsidRDefault="00000000">
                  <w:pPr>
                    <w:ind w:right="-40" w:firstLine="142"/>
                    <w:rPr>
                      <w:b/>
                    </w:rPr>
                  </w:pPr>
                  <w:r>
                    <w:rPr>
                      <w:b/>
                    </w:rPr>
                    <w:t xml:space="preserve">ТОО </w:t>
                  </w:r>
                  <w:r>
                    <w:rPr>
                      <w:b/>
                      <w:bCs/>
                      <w:lang w:eastAsia="en-US"/>
                    </w:rPr>
                    <w:t>«</w:t>
                  </w:r>
                  <w:proofErr w:type="spellStart"/>
                  <w:r>
                    <w:rPr>
                      <w:b/>
                      <w:bCs/>
                      <w:lang w:val="en-US" w:eastAsia="en-US"/>
                    </w:rPr>
                    <w:t>Zharyq</w:t>
                  </w:r>
                  <w:proofErr w:type="spellEnd"/>
                  <w:r>
                    <w:rPr>
                      <w:b/>
                      <w:bCs/>
                      <w:lang w:eastAsia="en-US"/>
                    </w:rPr>
                    <w:t xml:space="preserve"> </w:t>
                  </w:r>
                  <w:r>
                    <w:rPr>
                      <w:b/>
                      <w:bCs/>
                      <w:lang w:val="en-US" w:eastAsia="en-US"/>
                    </w:rPr>
                    <w:t>Logistics</w:t>
                  </w:r>
                  <w:r>
                    <w:rPr>
                      <w:b/>
                      <w:bCs/>
                      <w:lang w:eastAsia="en-US"/>
                    </w:rPr>
                    <w:t>»</w:t>
                  </w:r>
                </w:p>
                <w:p w14:paraId="525C8CC4" w14:textId="77777777" w:rsidR="00CD181B" w:rsidRDefault="00000000">
                  <w:pPr>
                    <w:pBdr>
                      <w:top w:val="none" w:sz="4" w:space="0" w:color="000000"/>
                      <w:left w:val="none" w:sz="4" w:space="0" w:color="000000"/>
                      <w:bottom w:val="none" w:sz="4" w:space="0" w:color="000000"/>
                      <w:right w:val="none" w:sz="4" w:space="0" w:color="000000"/>
                    </w:pBdr>
                    <w:ind w:right="-40" w:firstLine="142"/>
                  </w:pPr>
                  <w:r>
                    <w:rPr>
                      <w:color w:val="000000"/>
                    </w:rPr>
                    <w:t>Казахстан, город Астана, район         Алматы,   улица Шарль де Голль, здание 13, 502, 503, 504, почтовый индекс 010010</w:t>
                  </w:r>
                </w:p>
                <w:p w14:paraId="43911F28" w14:textId="77777777" w:rsidR="00CD181B" w:rsidRPr="00122038" w:rsidRDefault="00000000">
                  <w:pPr>
                    <w:ind w:right="-40" w:firstLine="142"/>
                  </w:pPr>
                  <w:r>
                    <w:t>Моб.: +7 775 645 81 13</w:t>
                  </w:r>
                </w:p>
                <w:p w14:paraId="31652736" w14:textId="77777777" w:rsidR="00CD181B" w:rsidRDefault="00000000">
                  <w:pPr>
                    <w:ind w:right="-40" w:firstLine="142"/>
                  </w:pPr>
                  <w:r>
                    <w:t>БИН  210940030810</w:t>
                  </w:r>
                </w:p>
                <w:p w14:paraId="109E08C1" w14:textId="77777777" w:rsidR="00CD181B" w:rsidRDefault="00000000">
                  <w:pPr>
                    <w:ind w:right="-40" w:firstLine="142"/>
                  </w:pPr>
                  <w:proofErr w:type="spellStart"/>
                  <w:r>
                    <w:t>КБе</w:t>
                  </w:r>
                  <w:proofErr w:type="spellEnd"/>
                  <w:r>
                    <w:t xml:space="preserve"> 17</w:t>
                  </w:r>
                </w:p>
                <w:p w14:paraId="19C28831" w14:textId="77777777" w:rsidR="00CD181B" w:rsidRDefault="00000000">
                  <w:pPr>
                    <w:ind w:right="-40" w:firstLine="142"/>
                  </w:pPr>
                  <w:r>
                    <w:t xml:space="preserve">ИИК </w:t>
                  </w:r>
                  <w:r>
                    <w:rPr>
                      <w:rFonts w:eastAsia="Calibri"/>
                    </w:rPr>
                    <w:t>KZ59601A871002752231</w:t>
                  </w:r>
                  <w:r>
                    <w:t xml:space="preserve"> (</w:t>
                  </w:r>
                  <w:r>
                    <w:rPr>
                      <w:lang w:val="en-US"/>
                    </w:rPr>
                    <w:t>KZT</w:t>
                  </w:r>
                  <w:r>
                    <w:t>)</w:t>
                  </w:r>
                </w:p>
                <w:p w14:paraId="56EF7C7E" w14:textId="77777777" w:rsidR="00CD181B" w:rsidRDefault="00000000">
                  <w:pPr>
                    <w:ind w:right="-40" w:firstLine="142"/>
                  </w:pPr>
                  <w:r>
                    <w:t xml:space="preserve">В </w:t>
                  </w:r>
                  <w:r>
                    <w:rPr>
                      <w:rFonts w:eastAsia="Calibri"/>
                      <w:bCs/>
                      <w:iCs/>
                    </w:rPr>
                    <w:t>АО «Народный Банк Казахстан»</w:t>
                  </w:r>
                </w:p>
                <w:p w14:paraId="3C87CC8F" w14:textId="77777777" w:rsidR="00CD181B" w:rsidRDefault="00000000">
                  <w:pPr>
                    <w:ind w:right="-40" w:firstLine="142"/>
                  </w:pPr>
                  <w:r>
                    <w:t xml:space="preserve">БИК </w:t>
                  </w:r>
                  <w:r>
                    <w:rPr>
                      <w:rFonts w:eastAsia="Calibri"/>
                      <w:bCs/>
                      <w:iCs/>
                    </w:rPr>
                    <w:t>HSBKKZKX</w:t>
                  </w:r>
                </w:p>
                <w:p w14:paraId="40BF5B2C" w14:textId="77777777" w:rsidR="00CD181B" w:rsidRDefault="00000000">
                  <w:pPr>
                    <w:ind w:right="-40" w:firstLine="142"/>
                  </w:pPr>
                  <w:r>
                    <w:t>Номер счёта: KZ888562203117243164 (KZT)</w:t>
                  </w:r>
                </w:p>
                <w:p w14:paraId="08197CEE" w14:textId="77777777" w:rsidR="00CD181B" w:rsidRDefault="00000000">
                  <w:pPr>
                    <w:ind w:right="-40" w:firstLine="142"/>
                  </w:pPr>
                  <w:r>
                    <w:t>АО «Банк ЦентрКредит»</w:t>
                  </w:r>
                </w:p>
                <w:p w14:paraId="54DA770C" w14:textId="77777777" w:rsidR="00CD181B" w:rsidRDefault="00000000">
                  <w:pPr>
                    <w:ind w:right="-40" w:firstLine="142"/>
                  </w:pPr>
                  <w:r>
                    <w:t xml:space="preserve">БИК: KCJBKZKX </w:t>
                  </w:r>
                </w:p>
                <w:p w14:paraId="5C15F73A" w14:textId="77777777" w:rsidR="00CD181B" w:rsidRDefault="00CD181B">
                  <w:pPr>
                    <w:ind w:right="-40" w:firstLine="142"/>
                    <w:rPr>
                      <w:b/>
                    </w:rPr>
                  </w:pPr>
                </w:p>
                <w:p w14:paraId="51BA4D2D" w14:textId="77777777" w:rsidR="00CD181B" w:rsidRDefault="00000000">
                  <w:pPr>
                    <w:ind w:right="-40" w:firstLine="142"/>
                    <w:rPr>
                      <w:b/>
                    </w:rPr>
                  </w:pPr>
                  <w:r>
                    <w:rPr>
                      <w:b/>
                    </w:rPr>
                    <w:t xml:space="preserve">Директор        </w:t>
                  </w:r>
                </w:p>
                <w:p w14:paraId="732FA0C5" w14:textId="77777777" w:rsidR="00CD181B" w:rsidRDefault="00CD181B">
                  <w:pPr>
                    <w:ind w:right="-40" w:firstLine="142"/>
                    <w:rPr>
                      <w:b/>
                    </w:rPr>
                  </w:pPr>
                </w:p>
                <w:p w14:paraId="05379537" w14:textId="77777777" w:rsidR="00CD181B" w:rsidRDefault="00CD181B">
                  <w:pPr>
                    <w:ind w:right="-40" w:firstLine="142"/>
                    <w:rPr>
                      <w:b/>
                    </w:rPr>
                  </w:pPr>
                </w:p>
                <w:p w14:paraId="406404F8" w14:textId="77777777" w:rsidR="00CD181B" w:rsidRDefault="00000000">
                  <w:pPr>
                    <w:ind w:right="-40" w:firstLine="142"/>
                  </w:pPr>
                  <w:r>
                    <w:rPr>
                      <w:b/>
                    </w:rPr>
                    <w:t xml:space="preserve">___________________ </w:t>
                  </w:r>
                  <w:proofErr w:type="spellStart"/>
                  <w:r>
                    <w:rPr>
                      <w:b/>
                    </w:rPr>
                    <w:t>Мырзабек</w:t>
                  </w:r>
                  <w:proofErr w:type="spellEnd"/>
                  <w:r>
                    <w:rPr>
                      <w:b/>
                    </w:rPr>
                    <w:t xml:space="preserve"> Б.Н.</w:t>
                  </w:r>
                </w:p>
              </w:tc>
              <w:tc>
                <w:tcPr>
                  <w:tcW w:w="4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1F7B74" w14:textId="77777777" w:rsidR="00CD181B" w:rsidRDefault="00000000">
                  <w:pPr>
                    <w:rPr>
                      <w:color w:val="000000"/>
                      <w:szCs w:val="22"/>
                      <w:lang w:val="kk-KZ"/>
                    </w:rPr>
                  </w:pPr>
                  <w:r>
                    <w:rPr>
                      <w:b/>
                      <w:bCs/>
                    </w:rPr>
                    <w:t xml:space="preserve">                        Заказчик:</w:t>
                  </w:r>
                  <w:r>
                    <w:rPr>
                      <w:b/>
                      <w:bCs/>
                    </w:rPr>
                    <w:br w:type="textWrapping" w:clear="all"/>
                    <w:t>ТОО «»</w:t>
                  </w:r>
                  <w:r>
                    <w:rPr>
                      <w:b/>
                      <w:bCs/>
                      <w:lang w:val="kk-KZ"/>
                    </w:rPr>
                    <w:br w:type="textWrapping" w:clear="all"/>
                  </w:r>
                </w:p>
                <w:p w14:paraId="4ACFF76B" w14:textId="77777777" w:rsidR="00CD181B" w:rsidRDefault="00CD181B">
                  <w:pPr>
                    <w:rPr>
                      <w:color w:val="000000"/>
                      <w:szCs w:val="22"/>
                      <w:lang w:val="kk-KZ"/>
                    </w:rPr>
                  </w:pPr>
                </w:p>
                <w:p w14:paraId="27539B64" w14:textId="77777777" w:rsidR="00CD181B" w:rsidRDefault="00CD181B">
                  <w:pPr>
                    <w:rPr>
                      <w:color w:val="000000"/>
                      <w:szCs w:val="22"/>
                      <w:lang w:val="kk-KZ"/>
                    </w:rPr>
                  </w:pPr>
                </w:p>
                <w:p w14:paraId="4D7D04CC" w14:textId="77777777" w:rsidR="00CD181B" w:rsidRDefault="00CD181B">
                  <w:pPr>
                    <w:rPr>
                      <w:color w:val="000000"/>
                      <w:szCs w:val="22"/>
                      <w:lang w:val="kk-KZ"/>
                    </w:rPr>
                  </w:pPr>
                </w:p>
                <w:p w14:paraId="502DEC29" w14:textId="77777777" w:rsidR="00CD181B" w:rsidRDefault="00CD181B">
                  <w:pPr>
                    <w:rPr>
                      <w:color w:val="000000"/>
                      <w:szCs w:val="22"/>
                      <w:lang w:val="kk-KZ"/>
                    </w:rPr>
                  </w:pPr>
                </w:p>
                <w:p w14:paraId="0CC9C9DF" w14:textId="77777777" w:rsidR="00CD181B" w:rsidRDefault="00CD181B">
                  <w:pPr>
                    <w:rPr>
                      <w:color w:val="000000"/>
                      <w:szCs w:val="22"/>
                      <w:lang w:val="kk-KZ"/>
                    </w:rPr>
                  </w:pPr>
                </w:p>
                <w:p w14:paraId="345235D9" w14:textId="77777777" w:rsidR="00CD181B" w:rsidRDefault="00CD181B">
                  <w:pPr>
                    <w:rPr>
                      <w:color w:val="000000"/>
                      <w:szCs w:val="22"/>
                      <w:lang w:val="kk-KZ"/>
                    </w:rPr>
                  </w:pPr>
                </w:p>
                <w:p w14:paraId="50E88465" w14:textId="77777777" w:rsidR="00CD181B" w:rsidRDefault="00CD181B">
                  <w:pPr>
                    <w:rPr>
                      <w:color w:val="000000"/>
                      <w:szCs w:val="22"/>
                      <w:lang w:val="kk-KZ"/>
                    </w:rPr>
                  </w:pPr>
                </w:p>
                <w:p w14:paraId="032C0A3C" w14:textId="77777777" w:rsidR="00CD181B" w:rsidRDefault="00CD181B">
                  <w:pPr>
                    <w:rPr>
                      <w:color w:val="000000"/>
                      <w:szCs w:val="22"/>
                      <w:lang w:val="kk-KZ"/>
                    </w:rPr>
                  </w:pPr>
                </w:p>
                <w:p w14:paraId="4B9156B8" w14:textId="77777777" w:rsidR="00CD181B" w:rsidRDefault="00CD181B">
                  <w:pPr>
                    <w:rPr>
                      <w:color w:val="000000"/>
                      <w:szCs w:val="22"/>
                      <w:lang w:val="kk-KZ"/>
                    </w:rPr>
                  </w:pPr>
                </w:p>
                <w:p w14:paraId="21B8B028" w14:textId="77777777" w:rsidR="00CD181B" w:rsidRDefault="00CD181B">
                  <w:pPr>
                    <w:rPr>
                      <w:b/>
                      <w:color w:val="000000"/>
                      <w:szCs w:val="22"/>
                      <w:lang w:val="en-US"/>
                    </w:rPr>
                  </w:pPr>
                </w:p>
                <w:p w14:paraId="1506F4BD" w14:textId="77777777" w:rsidR="00122038" w:rsidRDefault="00122038">
                  <w:pPr>
                    <w:rPr>
                      <w:b/>
                      <w:color w:val="000000"/>
                      <w:szCs w:val="22"/>
                      <w:lang w:val="en-US"/>
                    </w:rPr>
                  </w:pPr>
                </w:p>
                <w:p w14:paraId="3B14FF7C" w14:textId="77777777" w:rsidR="00122038" w:rsidRPr="00122038" w:rsidRDefault="00122038">
                  <w:pPr>
                    <w:rPr>
                      <w:b/>
                      <w:color w:val="000000"/>
                      <w:szCs w:val="22"/>
                      <w:lang w:val="en-US"/>
                    </w:rPr>
                  </w:pPr>
                </w:p>
                <w:p w14:paraId="454ABACF" w14:textId="77777777" w:rsidR="00CD181B" w:rsidRDefault="00000000">
                  <w:pPr>
                    <w:rPr>
                      <w:b/>
                      <w:bCs/>
                    </w:rPr>
                  </w:pPr>
                  <w:r>
                    <w:rPr>
                      <w:b/>
                      <w:color w:val="000000"/>
                      <w:szCs w:val="22"/>
                    </w:rPr>
                    <w:t>Директор</w:t>
                  </w:r>
                </w:p>
                <w:p w14:paraId="5EED6D97" w14:textId="77777777" w:rsidR="00CD181B" w:rsidRDefault="00CD181B">
                  <w:pPr>
                    <w:rPr>
                      <w:b/>
                      <w:bCs/>
                    </w:rPr>
                  </w:pPr>
                </w:p>
                <w:p w14:paraId="55922441" w14:textId="77777777" w:rsidR="00CD181B" w:rsidRDefault="00CD181B">
                  <w:pPr>
                    <w:rPr>
                      <w:b/>
                      <w:bCs/>
                    </w:rPr>
                  </w:pPr>
                </w:p>
                <w:p w14:paraId="6285A8C1" w14:textId="77777777" w:rsidR="00CD181B" w:rsidRDefault="00000000">
                  <w:pPr>
                    <w:rPr>
                      <w:b/>
                      <w:lang w:val="kk-KZ"/>
                    </w:rPr>
                  </w:pPr>
                  <w:r>
                    <w:rPr>
                      <w:b/>
                      <w:bCs/>
                    </w:rPr>
                    <w:t>____________________</w:t>
                  </w:r>
                  <w:r>
                    <w:rPr>
                      <w:lang w:val="kk-KZ"/>
                    </w:rPr>
                    <w:t xml:space="preserve"> </w:t>
                  </w:r>
                  <w:r>
                    <w:rPr>
                      <w:b/>
                    </w:rPr>
                    <w:t>.</w:t>
                  </w:r>
                </w:p>
              </w:tc>
            </w:tr>
          </w:tbl>
          <w:p w14:paraId="0E01EAE4" w14:textId="77777777" w:rsidR="00CD181B" w:rsidRDefault="00CD181B">
            <w:pPr>
              <w:tabs>
                <w:tab w:val="left" w:pos="6225"/>
              </w:tabs>
              <w:rPr>
                <w:rFonts w:cs="Arial"/>
                <w:sz w:val="18"/>
                <w:szCs w:val="18"/>
              </w:rPr>
            </w:pPr>
          </w:p>
        </w:tc>
      </w:tr>
    </w:tbl>
    <w:p w14:paraId="7152AB1D" w14:textId="77777777" w:rsidR="00CD181B" w:rsidRDefault="00CD181B"/>
    <w:sectPr w:rsidR="00CD181B">
      <w:headerReference w:type="default" r:id="rId7"/>
      <w:footerReference w:type="default" r:id="rId8"/>
      <w:pgSz w:w="11906" w:h="16838"/>
      <w:pgMar w:top="567" w:right="746" w:bottom="993" w:left="1800" w:header="720" w:footer="36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8293B4" w14:textId="77777777" w:rsidR="007E2D51" w:rsidRDefault="007E2D51">
      <w:r>
        <w:separator/>
      </w:r>
    </w:p>
  </w:endnote>
  <w:endnote w:type="continuationSeparator" w:id="0">
    <w:p w14:paraId="52680395" w14:textId="77777777" w:rsidR="007E2D51" w:rsidRDefault="007E2D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auto"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auto"/>
    <w:pitch w:val="default"/>
  </w:font>
  <w:font w:name="Segoe UI">
    <w:panose1 w:val="020B0502040204020203"/>
    <w:charset w:val="00"/>
    <w:family w:val="auto"/>
    <w:pitch w:val="default"/>
  </w:font>
  <w:font w:name="Arial Unicode MS">
    <w:panose1 w:val="020B0604020202020204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3D0EF1" w14:textId="77777777" w:rsidR="00CD181B" w:rsidRDefault="00000000">
    <w:pPr>
      <w:jc w:val="right"/>
      <w:rPr>
        <w:sz w:val="22"/>
        <w:szCs w:val="22"/>
      </w:rPr>
    </w:pPr>
    <w:r>
      <w:rPr>
        <w:rStyle w:val="aff5"/>
      </w:rPr>
      <w:fldChar w:fldCharType="begin"/>
    </w:r>
    <w:r>
      <w:rPr>
        <w:rStyle w:val="aff5"/>
      </w:rPr>
      <w:instrText xml:space="preserve"> PAGE </w:instrText>
    </w:r>
    <w:r>
      <w:rPr>
        <w:rStyle w:val="aff5"/>
      </w:rPr>
      <w:fldChar w:fldCharType="separate"/>
    </w:r>
    <w:r>
      <w:rPr>
        <w:rStyle w:val="aff5"/>
      </w:rPr>
      <w:t>3</w:t>
    </w:r>
    <w:r>
      <w:rPr>
        <w:rStyle w:val="aff5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72B1E5" w14:textId="77777777" w:rsidR="007E2D51" w:rsidRDefault="007E2D51">
      <w:r>
        <w:separator/>
      </w:r>
    </w:p>
  </w:footnote>
  <w:footnote w:type="continuationSeparator" w:id="0">
    <w:p w14:paraId="64A35B3A" w14:textId="77777777" w:rsidR="007E2D51" w:rsidRDefault="007E2D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C06414" w14:textId="77777777" w:rsidR="00CD181B" w:rsidRDefault="00000000">
    <w:pPr>
      <w:pStyle w:val="af3"/>
      <w:jc w:val="right"/>
      <w:rPr>
        <w:color w:val="C4BC96"/>
      </w:rPr>
    </w:pPr>
    <w:proofErr w:type="spellStart"/>
    <w:r>
      <w:rPr>
        <w:color w:val="C4BC96"/>
      </w:rPr>
      <w:t>мультимодал</w:t>
    </w:r>
    <w:proofErr w:type="spellEnd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4B4504"/>
    <w:multiLevelType w:val="multilevel"/>
    <w:tmpl w:val="2F30B802"/>
    <w:lvl w:ilvl="0">
      <w:start w:val="2"/>
      <w:numFmt w:val="decimal"/>
      <w:lvlText w:val="%1."/>
      <w:lvlJc w:val="left"/>
      <w:pPr>
        <w:tabs>
          <w:tab w:val="num" w:pos="450"/>
        </w:tabs>
        <w:ind w:left="450" w:hanging="450"/>
      </w:pPr>
    </w:lvl>
    <w:lvl w:ilvl="1">
      <w:start w:val="4"/>
      <w:numFmt w:val="decimal"/>
      <w:lvlText w:val="%1.%2."/>
      <w:lvlJc w:val="left"/>
      <w:pPr>
        <w:tabs>
          <w:tab w:val="num" w:pos="450"/>
        </w:tabs>
        <w:ind w:left="450" w:hanging="45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</w:lvl>
  </w:abstractNum>
  <w:abstractNum w:abstractNumId="1" w15:restartNumberingAfterBreak="0">
    <w:nsid w:val="121144A2"/>
    <w:multiLevelType w:val="multilevel"/>
    <w:tmpl w:val="A9B6161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</w:lvl>
  </w:abstractNum>
  <w:abstractNum w:abstractNumId="2" w15:restartNumberingAfterBreak="0">
    <w:nsid w:val="1DD47B28"/>
    <w:multiLevelType w:val="multilevel"/>
    <w:tmpl w:val="E5688034"/>
    <w:lvl w:ilvl="0">
      <w:start w:val="2"/>
      <w:numFmt w:val="decimal"/>
      <w:lvlText w:val="%1."/>
      <w:lvlJc w:val="left"/>
      <w:pPr>
        <w:tabs>
          <w:tab w:val="num" w:pos="495"/>
        </w:tabs>
        <w:ind w:left="495" w:hanging="495"/>
      </w:pPr>
    </w:lvl>
    <w:lvl w:ilvl="1">
      <w:start w:val="1"/>
      <w:numFmt w:val="decimal"/>
      <w:lvlText w:val="%1.%2."/>
      <w:lvlJc w:val="left"/>
      <w:pPr>
        <w:tabs>
          <w:tab w:val="num" w:pos="495"/>
        </w:tabs>
        <w:ind w:left="495" w:hanging="495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" w15:restartNumberingAfterBreak="0">
    <w:nsid w:val="1E195274"/>
    <w:multiLevelType w:val="multilevel"/>
    <w:tmpl w:val="EB62D68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4" w15:restartNumberingAfterBreak="0">
    <w:nsid w:val="248D63EE"/>
    <w:multiLevelType w:val="multilevel"/>
    <w:tmpl w:val="BB007FA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</w:lvl>
  </w:abstractNum>
  <w:abstractNum w:abstractNumId="5" w15:restartNumberingAfterBreak="0">
    <w:nsid w:val="3FDA5D32"/>
    <w:multiLevelType w:val="multilevel"/>
    <w:tmpl w:val="D9029E46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05703E"/>
    <w:multiLevelType w:val="multilevel"/>
    <w:tmpl w:val="938AAEE6"/>
    <w:lvl w:ilvl="0">
      <w:start w:val="2"/>
      <w:numFmt w:val="decimal"/>
      <w:lvlText w:val="%1."/>
      <w:lvlJc w:val="left"/>
      <w:pPr>
        <w:tabs>
          <w:tab w:val="num" w:pos="585"/>
        </w:tabs>
        <w:ind w:left="585" w:hanging="585"/>
      </w:pPr>
      <w:rPr>
        <w:b/>
      </w:rPr>
    </w:lvl>
    <w:lvl w:ilvl="1">
      <w:start w:val="2"/>
      <w:numFmt w:val="decimal"/>
      <w:lvlText w:val="%1.%2."/>
      <w:lvlJc w:val="left"/>
      <w:pPr>
        <w:tabs>
          <w:tab w:val="num" w:pos="585"/>
        </w:tabs>
        <w:ind w:left="585" w:hanging="585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b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b/>
      </w:rPr>
    </w:lvl>
  </w:abstractNum>
  <w:abstractNum w:abstractNumId="7" w15:restartNumberingAfterBreak="0">
    <w:nsid w:val="5DC3564B"/>
    <w:multiLevelType w:val="multilevel"/>
    <w:tmpl w:val="0DB66A9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6FA9691C"/>
    <w:multiLevelType w:val="multilevel"/>
    <w:tmpl w:val="AB8CADA2"/>
    <w:lvl w:ilvl="0">
      <w:start w:val="2"/>
      <w:numFmt w:val="decimal"/>
      <w:lvlText w:val="%1."/>
      <w:lvlJc w:val="left"/>
      <w:pPr>
        <w:tabs>
          <w:tab w:val="num" w:pos="450"/>
        </w:tabs>
        <w:ind w:left="450" w:hanging="450"/>
      </w:pPr>
    </w:lvl>
    <w:lvl w:ilvl="1">
      <w:start w:val="3"/>
      <w:numFmt w:val="decimal"/>
      <w:lvlText w:val="%1.%2."/>
      <w:lvlJc w:val="left"/>
      <w:pPr>
        <w:tabs>
          <w:tab w:val="num" w:pos="450"/>
        </w:tabs>
        <w:ind w:left="450" w:hanging="45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</w:lvl>
  </w:abstractNum>
  <w:abstractNum w:abstractNumId="9" w15:restartNumberingAfterBreak="0">
    <w:nsid w:val="7E973129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strike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7EBA083E"/>
    <w:multiLevelType w:val="multilevel"/>
    <w:tmpl w:val="FCA041A2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58030350">
    <w:abstractNumId w:val="2"/>
  </w:num>
  <w:num w:numId="2" w16cid:durableId="2077968059">
    <w:abstractNumId w:val="1"/>
  </w:num>
  <w:num w:numId="3" w16cid:durableId="116989469">
    <w:abstractNumId w:val="6"/>
  </w:num>
  <w:num w:numId="4" w16cid:durableId="21178180">
    <w:abstractNumId w:val="0"/>
  </w:num>
  <w:num w:numId="5" w16cid:durableId="1284731037">
    <w:abstractNumId w:val="4"/>
  </w:num>
  <w:num w:numId="6" w16cid:durableId="1033504080">
    <w:abstractNumId w:val="8"/>
  </w:num>
  <w:num w:numId="7" w16cid:durableId="596863573">
    <w:abstractNumId w:val="10"/>
  </w:num>
  <w:num w:numId="8" w16cid:durableId="634943228">
    <w:abstractNumId w:val="5"/>
  </w:num>
  <w:num w:numId="9" w16cid:durableId="1739397283">
    <w:abstractNumId w:val="3"/>
  </w:num>
  <w:num w:numId="10" w16cid:durableId="1075972069">
    <w:abstractNumId w:val="7"/>
  </w:num>
  <w:num w:numId="11" w16cid:durableId="67176323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181B"/>
    <w:rsid w:val="00122038"/>
    <w:rsid w:val="007E2D51"/>
    <w:rsid w:val="00AD3850"/>
    <w:rsid w:val="00CD18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A0C6FF"/>
  <w15:docId w15:val="{320B214D-A03B-4476-A161-81E306D6F4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60" w:after="80"/>
      <w:outlineLvl w:val="0"/>
    </w:pPr>
    <w:rPr>
      <w:rFonts w:ascii="Arial" w:eastAsia="Arial" w:hAnsi="Arial" w:cs="Arial"/>
      <w:color w:val="365F91"/>
      <w:sz w:val="40"/>
      <w:szCs w:val="40"/>
    </w:rPr>
  </w:style>
  <w:style w:type="paragraph" w:styleId="2">
    <w:name w:val="heading 2"/>
    <w:basedOn w:val="a"/>
    <w:next w:val="a"/>
    <w:link w:val="20"/>
    <w:qFormat/>
    <w:pPr>
      <w:keepNext/>
      <w:spacing w:before="60" w:after="60"/>
      <w:jc w:val="both"/>
      <w:outlineLvl w:val="1"/>
    </w:pPr>
    <w:rPr>
      <w:rFonts w:ascii="Tahoma" w:hAnsi="Tahoma"/>
      <w:b/>
      <w:sz w:val="20"/>
      <w:szCs w:val="20"/>
      <w:lang w:val="en-GB" w:eastAsia="en-US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160" w:after="80"/>
      <w:outlineLvl w:val="2"/>
    </w:pPr>
    <w:rPr>
      <w:rFonts w:ascii="Arial" w:eastAsia="Arial" w:hAnsi="Arial" w:cs="Arial"/>
      <w:color w:val="365F91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80" w:after="40"/>
      <w:outlineLvl w:val="4"/>
    </w:pPr>
    <w:rPr>
      <w:rFonts w:ascii="Arial" w:eastAsia="Arial" w:hAnsi="Arial" w:cs="Arial"/>
      <w:color w:val="365F91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40"/>
      <w:outlineLvl w:val="5"/>
    </w:pPr>
    <w:rPr>
      <w:rFonts w:ascii="Arial" w:eastAsia="Arial" w:hAnsi="Arial" w:cs="Arial"/>
      <w:i/>
      <w:iCs/>
      <w:color w:val="595959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40"/>
      <w:outlineLvl w:val="6"/>
    </w:pPr>
    <w:rPr>
      <w:rFonts w:ascii="Arial" w:eastAsia="Arial" w:hAnsi="Arial" w:cs="Arial"/>
      <w:color w:val="595959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outlineLvl w:val="7"/>
    </w:pPr>
    <w:rPr>
      <w:rFonts w:ascii="Arial" w:eastAsia="Arial" w:hAnsi="Arial" w:cs="Arial"/>
      <w:i/>
      <w:iCs/>
      <w:color w:val="272727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outlineLvl w:val="8"/>
    </w:pPr>
    <w:rPr>
      <w:rFonts w:ascii="Arial" w:eastAsia="Arial" w:hAnsi="Arial" w:cs="Arial"/>
      <w:i/>
      <w:iCs/>
      <w:color w:val="2727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SubtitleChar">
    <w:name w:val="Subtitle Char"/>
    <w:basedOn w:val="a0"/>
    <w:uiPriority w:val="11"/>
    <w:rPr>
      <w:color w:val="595959" w:themeColor="text1" w:themeTint="A6"/>
      <w:spacing w:val="15"/>
      <w:sz w:val="28"/>
      <w:szCs w:val="28"/>
    </w:rPr>
  </w:style>
  <w:style w:type="character" w:customStyle="1" w:styleId="QuoteChar">
    <w:name w:val="Quote Char"/>
    <w:basedOn w:val="a0"/>
    <w:uiPriority w:val="29"/>
    <w:rPr>
      <w:i/>
      <w:iCs/>
      <w:color w:val="404040" w:themeColor="text1" w:themeTint="BF"/>
    </w:rPr>
  </w:style>
  <w:style w:type="character" w:customStyle="1" w:styleId="IntenseQuoteChar">
    <w:name w:val="Intense Quote Char"/>
    <w:basedOn w:val="a0"/>
    <w:uiPriority w:val="30"/>
    <w:rPr>
      <w:i/>
      <w:iCs/>
      <w:color w:val="365F91" w:themeColor="accent1" w:themeShade="BF"/>
    </w:rPr>
  </w:style>
  <w:style w:type="character" w:customStyle="1" w:styleId="FootnoteTextChar">
    <w:name w:val="Footnote Text Char"/>
    <w:basedOn w:val="a0"/>
    <w:uiPriority w:val="99"/>
    <w:semiHidden/>
    <w:rPr>
      <w:sz w:val="20"/>
      <w:szCs w:val="20"/>
    </w:rPr>
  </w:style>
  <w:style w:type="character" w:customStyle="1" w:styleId="EndnoteTextChar">
    <w:name w:val="Endnote Text Char"/>
    <w:basedOn w:val="a0"/>
    <w:uiPriority w:val="99"/>
    <w:semiHidden/>
    <w:rPr>
      <w:sz w:val="20"/>
      <w:szCs w:val="20"/>
    </w:rPr>
  </w:style>
  <w:style w:type="table" w:styleId="a3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</w:tblPr>
  </w:style>
  <w:style w:type="table" w:styleId="11">
    <w:name w:val="Plain Table 1"/>
    <w:basedOn w:val="a1"/>
    <w:uiPriority w:val="59"/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F2F2F2"/>
      </w:tcPr>
    </w:tblStylePr>
    <w:tblStylePr w:type="band1Horz">
      <w:tblPr/>
      <w:tcPr>
        <w:shd w:val="clear" w:color="F2F2F2" w:fill="F2F2F2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2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/>
          <w:left w:val="single" w:sz="4" w:space="0" w:color="989898"/>
          <w:bottom w:val="single" w:sz="4" w:space="0" w:color="989898"/>
          <w:right w:val="single" w:sz="4" w:space="0" w:color="989898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/>
          <w:left w:val="single" w:sz="4" w:space="0" w:color="B7CBE4"/>
          <w:bottom w:val="single" w:sz="4" w:space="0" w:color="B7CBE4"/>
          <w:right w:val="single" w:sz="4" w:space="0" w:color="B7CBE4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/>
          <w:left w:val="single" w:sz="4" w:space="0" w:color="E5B7B6"/>
          <w:bottom w:val="single" w:sz="4" w:space="0" w:color="E5B7B6"/>
          <w:right w:val="single" w:sz="4" w:space="0" w:color="E5B7B6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/>
          <w:left w:val="single" w:sz="4" w:space="0" w:color="D6E3BB"/>
          <w:bottom w:val="single" w:sz="4" w:space="0" w:color="D6E3BB"/>
          <w:right w:val="single" w:sz="4" w:space="0" w:color="D6E3BB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/>
          <w:left w:val="single" w:sz="4" w:space="0" w:color="CBC0D9"/>
          <w:bottom w:val="single" w:sz="4" w:space="0" w:color="CBC0D9"/>
          <w:right w:val="single" w:sz="4" w:space="0" w:color="CBC0D9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5D8AC2"/>
        <w:insideH w:val="single" w:sz="4" w:space="0" w:color="5D8AC2"/>
        <w:insideV w:val="single" w:sz="4" w:space="0" w:color="5D8AC2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fill="DAE5F1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BACC6"/>
        <w:insideH w:val="single" w:sz="4" w:space="0" w:color="4BACC6"/>
        <w:insideV w:val="single" w:sz="4" w:space="0" w:color="4BAC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F79646"/>
        <w:insideH w:val="single" w:sz="4" w:space="0" w:color="F79646"/>
        <w:insideV w:val="single" w:sz="4" w:space="0" w:color="F7964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5D8AC2"/>
        <w:insideH w:val="single" w:sz="4" w:space="0" w:color="5D8AC2"/>
        <w:insideV w:val="single" w:sz="4" w:space="0" w:color="5D8AC2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fill="DAE5F1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BACC6"/>
        <w:insideH w:val="single" w:sz="4" w:space="0" w:color="4BACC6"/>
        <w:insideV w:val="single" w:sz="4" w:space="0" w:color="4BAC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F79646"/>
        <w:insideH w:val="single" w:sz="4" w:space="0" w:color="F79646"/>
        <w:insideV w:val="single" w:sz="4" w:space="0" w:color="F7964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  <w:shd w:val="clear" w:color="000000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/>
          <w:left w:val="single" w:sz="4" w:space="0" w:color="5D8AC2"/>
          <w:bottom w:val="single" w:sz="4" w:space="0" w:color="5D8AC2"/>
          <w:right w:val="single" w:sz="4" w:space="0" w:color="5D8AC2"/>
        </w:tcBorders>
        <w:shd w:val="clear" w:color="5D8AC2" w:fill="5D8AC2"/>
      </w:tcPr>
    </w:tblStylePr>
    <w:tblStylePr w:type="lastRow">
      <w:rPr>
        <w:b/>
        <w:color w:val="404040"/>
      </w:rPr>
      <w:tblPr/>
      <w:tcPr>
        <w:tcBorders>
          <w:top w:val="single" w:sz="4" w:space="0" w:color="5D8AC2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fill="DCE6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fill="DCE6F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/>
          <w:left w:val="single" w:sz="4" w:space="0" w:color="D99695"/>
          <w:bottom w:val="single" w:sz="4" w:space="0" w:color="D99695"/>
          <w:right w:val="single" w:sz="4" w:space="0" w:color="D99695"/>
        </w:tcBorders>
        <w:shd w:val="clear" w:color="D99695" w:fill="D99695"/>
      </w:tcPr>
    </w:tblStylePr>
    <w:tblStylePr w:type="lastRow">
      <w:rPr>
        <w:b/>
        <w:color w:val="404040"/>
      </w:rPr>
      <w:tblPr/>
      <w:tcPr>
        <w:tcBorders>
          <w:top w:val="single" w:sz="4" w:space="0" w:color="D9969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/>
          <w:left w:val="single" w:sz="4" w:space="0" w:color="9ABB59"/>
          <w:bottom w:val="single" w:sz="4" w:space="0" w:color="9ABB59"/>
          <w:right w:val="single" w:sz="4" w:space="0" w:color="9ABB59"/>
        </w:tcBorders>
        <w:shd w:val="clear" w:color="9ABB59" w:fill="9ABB59"/>
      </w:tcPr>
    </w:tblStylePr>
    <w:tblStylePr w:type="lastRow">
      <w:rPr>
        <w:b/>
        <w:color w:val="404040"/>
      </w:rPr>
      <w:tblPr/>
      <w:tcPr>
        <w:tcBorders>
          <w:top w:val="single" w:sz="4" w:space="0" w:color="9ABB59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/>
          <w:left w:val="single" w:sz="4" w:space="0" w:color="B2A1C6"/>
          <w:bottom w:val="single" w:sz="4" w:space="0" w:color="B2A1C6"/>
          <w:right w:val="single" w:sz="4" w:space="0" w:color="B2A1C6"/>
        </w:tcBorders>
        <w:shd w:val="clear" w:color="B2A1C6" w:fill="B2A1C6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</w:tcBorders>
        <w:shd w:val="clear" w:color="4BACC6" w:fill="4BACC6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/>
          <w:left w:val="single" w:sz="4" w:space="0" w:color="F79646"/>
          <w:bottom w:val="single" w:sz="4" w:space="0" w:color="F79646"/>
          <w:right w:val="single" w:sz="4" w:space="0" w:color="F79646"/>
        </w:tcBorders>
        <w:shd w:val="clear" w:color="F79646" w:fill="F79646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000000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band1Vert">
      <w:tblPr/>
      <w:tcPr>
        <w:shd w:val="clear" w:color="8A8A8A" w:fill="8A8A8A"/>
      </w:tcPr>
    </w:tblStylePr>
    <w:tblStylePr w:type="band1Horz">
      <w:tblPr/>
      <w:tcPr>
        <w:shd w:val="clear" w:color="8A8A8A" w:fill="8A8A8A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4F81BD" w:fill="4F81B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band1Vert">
      <w:tblPr/>
      <w:tcPr>
        <w:shd w:val="clear" w:color="AEC4E0" w:fill="AEC4E0"/>
      </w:tcPr>
    </w:tblStylePr>
    <w:tblStylePr w:type="band1Horz">
      <w:tblPr/>
      <w:tcPr>
        <w:shd w:val="clear" w:color="AEC4E0" w:fill="AEC4E0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C0504D" w:fill="C0504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band1Vert">
      <w:tblPr/>
      <w:tcPr>
        <w:shd w:val="clear" w:color="E2AEAD" w:fill="E2AEAD"/>
      </w:tcPr>
    </w:tblStylePr>
    <w:tblStylePr w:type="band1Horz">
      <w:tblPr/>
      <w:tcPr>
        <w:shd w:val="clear" w:color="E2AEAD" w:fill="E2AEAD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9BBB59" w:fill="9BBB59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band1Vert">
      <w:tblPr/>
      <w:tcPr>
        <w:shd w:val="clear" w:color="D0DFB2" w:fill="D0DFB2"/>
      </w:tcPr>
    </w:tblStylePr>
    <w:tblStylePr w:type="band1Horz">
      <w:tblPr/>
      <w:tcPr>
        <w:shd w:val="clear" w:color="D0DFB2" w:fill="D0DFB2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8064A2" w:fill="8064A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band1Vert">
      <w:tblPr/>
      <w:tcPr>
        <w:shd w:val="clear" w:color="C4B7D4" w:fill="C4B7D4"/>
      </w:tcPr>
    </w:tblStylePr>
    <w:tblStylePr w:type="band1Horz">
      <w:tblPr/>
      <w:tcPr>
        <w:shd w:val="clear" w:color="C4B7D4" w:fill="C4B7D4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4BACC6" w:fill="4BACC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band1Vert">
      <w:tblPr/>
      <w:tcPr>
        <w:shd w:val="clear" w:color="ACD8E4" w:fill="ACD8E4"/>
      </w:tcPr>
    </w:tblStylePr>
    <w:tblStylePr w:type="band1Horz">
      <w:tblPr/>
      <w:tcPr>
        <w:shd w:val="clear" w:color="ACD8E4" w:fill="ACD8E4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79646" w:fill="F7964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band1Vert">
      <w:tblPr/>
      <w:tcPr>
        <w:shd w:val="clear" w:color="FBCEAA" w:fill="FBCEAA"/>
      </w:tcPr>
    </w:tblStylePr>
    <w:tblStylePr w:type="band1Horz">
      <w:tblPr/>
      <w:tcPr>
        <w:shd w:val="clear" w:color="FBCEAA" w:fill="FBCEAA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b/>
        <w:color w:val="7F7F7F"/>
      </w:rPr>
      <w:tblPr/>
      <w:tcPr>
        <w:tcBorders>
          <w:bottom w:val="single" w:sz="12" w:space="0" w:color="7F7F7F"/>
        </w:tcBorders>
      </w:tcPr>
    </w:tblStylePr>
    <w:tblStylePr w:type="lastRow">
      <w:rPr>
        <w:b/>
        <w:color w:val="7F7F7F"/>
      </w:rPr>
    </w:tblStylePr>
    <w:tblStylePr w:type="firstCol">
      <w:rPr>
        <w:b/>
        <w:color w:val="7F7F7F"/>
      </w:rPr>
    </w:tblStylePr>
    <w:tblStylePr w:type="lastCol">
      <w:rPr>
        <w:b/>
        <w:color w:val="7F7F7F"/>
      </w:rPr>
    </w:tblStylePr>
    <w:tblStylePr w:type="band1Vert">
      <w:tblPr/>
      <w:tcPr>
        <w:shd w:val="clear" w:color="CBCBCB" w:fill="CBCBCB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CBCBCB" w:fill="CBCBCB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</w:tblPr>
    <w:tblStylePr w:type="firstRow">
      <w:rPr>
        <w:b/>
        <w:color w:val="A6BFDD"/>
      </w:rPr>
      <w:tblPr/>
      <w:tcPr>
        <w:tcBorders>
          <w:bottom w:val="single" w:sz="12" w:space="0" w:color="A6BFDD"/>
        </w:tcBorders>
      </w:tcPr>
    </w:tblStylePr>
    <w:tblStylePr w:type="lastRow">
      <w:rPr>
        <w:b/>
        <w:color w:val="A6BFDD"/>
      </w:rPr>
    </w:tblStylePr>
    <w:tblStylePr w:type="firstCol">
      <w:rPr>
        <w:b/>
        <w:color w:val="A6BFDD"/>
      </w:rPr>
    </w:tblStylePr>
    <w:tblStylePr w:type="lastCol">
      <w:rPr>
        <w:b/>
        <w:color w:val="A6BFDD"/>
      </w:rPr>
    </w:tblStylePr>
    <w:tblStylePr w:type="band1Vert">
      <w:tblPr/>
      <w:tcPr>
        <w:shd w:val="clear" w:color="DAE5F1" w:fill="DAE5F1"/>
      </w:tcPr>
    </w:tblStylePr>
    <w:tblStylePr w:type="band1Horz">
      <w:rPr>
        <w:rFonts w:ascii="Arial" w:hAnsi="Arial"/>
        <w:color w:val="A6BFDD"/>
        <w:sz w:val="22"/>
      </w:rPr>
      <w:tblPr/>
      <w:tcPr>
        <w:shd w:val="clear" w:color="DAE5F1" w:fill="DAE5F1"/>
      </w:tcPr>
    </w:tblStylePr>
    <w:tblStylePr w:type="band2Horz">
      <w:rPr>
        <w:rFonts w:ascii="Arial" w:hAnsi="Arial"/>
        <w:color w:val="A6BFDD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b/>
        <w:color w:val="D99695"/>
      </w:rPr>
      <w:tblPr/>
      <w:tcPr>
        <w:tcBorders>
          <w:bottom w:val="single" w:sz="12" w:space="0" w:color="D99695"/>
        </w:tcBorders>
      </w:tcPr>
    </w:tblStylePr>
    <w:tblStylePr w:type="lastRow">
      <w:rPr>
        <w:b/>
        <w:color w:val="D99695"/>
      </w:rPr>
    </w:tblStylePr>
    <w:tblStylePr w:type="firstCol">
      <w:rPr>
        <w:b/>
        <w:color w:val="D99695"/>
      </w:rPr>
    </w:tblStylePr>
    <w:tblStylePr w:type="lastCol">
      <w:rPr>
        <w:b/>
        <w:color w:val="D99695"/>
      </w:rPr>
    </w:tblStylePr>
    <w:tblStylePr w:type="band1Vert">
      <w:tblPr/>
      <w:tcPr>
        <w:shd w:val="clear" w:color="F2DCDC" w:fill="F2DCDC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2DCDC" w:fill="F2DCDC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b/>
        <w:color w:val="9ABB59"/>
      </w:rPr>
      <w:tblPr/>
      <w:tcPr>
        <w:tcBorders>
          <w:bottom w:val="single" w:sz="12" w:space="0" w:color="9ABB59"/>
        </w:tcBorders>
      </w:tcPr>
    </w:tblStylePr>
    <w:tblStylePr w:type="lastRow">
      <w:rPr>
        <w:b/>
        <w:color w:val="9ABB59"/>
      </w:rPr>
    </w:tblStylePr>
    <w:tblStylePr w:type="firstCol">
      <w:rPr>
        <w:b/>
        <w:color w:val="9ABB59"/>
      </w:rPr>
    </w:tblStylePr>
    <w:tblStylePr w:type="lastCol">
      <w:rPr>
        <w:b/>
        <w:color w:val="9ABB59"/>
      </w:rPr>
    </w:tblStylePr>
    <w:tblStylePr w:type="band1Vert">
      <w:tblPr/>
      <w:tcPr>
        <w:shd w:val="clear" w:color="EAF1DC" w:fill="EAF1DC"/>
      </w:tcPr>
    </w:tblStylePr>
    <w:tblStylePr w:type="band1Horz">
      <w:rPr>
        <w:rFonts w:ascii="Arial" w:hAnsi="Arial"/>
        <w:color w:val="9ABB59"/>
        <w:sz w:val="22"/>
      </w:rPr>
      <w:tblPr/>
      <w:tcPr>
        <w:shd w:val="clear" w:color="EAF1DC" w:fill="EAF1DC"/>
      </w:tcPr>
    </w:tblStylePr>
    <w:tblStylePr w:type="band2Horz">
      <w:rPr>
        <w:rFonts w:ascii="Arial" w:hAnsi="Arial"/>
        <w:color w:val="9ABB59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b/>
        <w:color w:val="B2A1C6"/>
      </w:rPr>
      <w:tblPr/>
      <w:tcPr>
        <w:tcBorders>
          <w:bottom w:val="single" w:sz="12" w:space="0" w:color="B2A1C6"/>
        </w:tcBorders>
      </w:tcPr>
    </w:tblStylePr>
    <w:tblStylePr w:type="lastRow">
      <w:rPr>
        <w:b/>
        <w:color w:val="B2A1C6"/>
      </w:r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E5DFEC" w:fill="E5DFEC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E5DFEC" w:fill="E5DFEC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</w:tblPr>
    <w:tblStylePr w:type="firstRow">
      <w:rPr>
        <w:b/>
        <w:color w:val="266779"/>
      </w:rPr>
      <w:tblPr/>
      <w:tcPr>
        <w:tcBorders>
          <w:bottom w:val="single" w:sz="12" w:space="0" w:color="4BACC6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DAEEF3" w:fill="DAEEF3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DAEEF3" w:fill="DAEEF3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</w:tblPr>
    <w:tblStylePr w:type="firstRow">
      <w:rPr>
        <w:b/>
        <w:color w:val="266779"/>
      </w:rPr>
      <w:tblPr/>
      <w:tcPr>
        <w:tcBorders>
          <w:bottom w:val="single" w:sz="12" w:space="0" w:color="F79646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FDE9D8" w:fill="FDE9D8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FDE9D8" w:fill="FDE9D8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rFonts w:ascii="Arial" w:hAnsi="Arial"/>
        <w:b/>
        <w:color w:val="7F7F7F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/>
          <w:right w:val="none" w:sz="4" w:space="0" w:color="000000"/>
        </w:tcBorders>
        <w:shd w:val="clear" w:color="FFFFFF" w:fill="FFFFFF"/>
      </w:tcPr>
    </w:tblStylePr>
    <w:tblStylePr w:type="lastRow">
      <w:rPr>
        <w:rFonts w:ascii="Arial" w:hAnsi="Arial"/>
        <w:b/>
        <w:color w:val="7F7F7F"/>
        <w:sz w:val="22"/>
      </w:rPr>
      <w:tblPr/>
      <w:tcPr>
        <w:tcBorders>
          <w:top w:val="single" w:sz="4" w:space="0" w:color="7F7F7F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4" w:space="0" w:color="000000"/>
          <w:left w:val="single" w:sz="4" w:space="0" w:color="7F7F7F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fill="F2F2F2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2F2F2" w:fill="F2F2F2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</w:tblPr>
    <w:tblStylePr w:type="firstRow">
      <w:rPr>
        <w:rFonts w:ascii="Arial" w:hAnsi="Arial"/>
        <w:b/>
        <w:color w:val="A6BFDD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/>
          <w:right w:val="none" w:sz="4" w:space="0" w:color="000000"/>
        </w:tcBorders>
        <w:shd w:val="clear" w:color="FFFFFF" w:fill="FFFFFF"/>
      </w:tcPr>
    </w:tblStylePr>
    <w:tblStylePr w:type="lastRow">
      <w:rPr>
        <w:rFonts w:ascii="Arial" w:hAnsi="Arial"/>
        <w:b/>
        <w:color w:val="A6BFDD"/>
        <w:sz w:val="22"/>
      </w:rPr>
      <w:tblPr/>
      <w:tcPr>
        <w:tcBorders>
          <w:top w:val="single" w:sz="4" w:space="0" w:color="A6BFDD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A6BFDD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/>
        </w:tcBorders>
        <w:shd w:val="clear" w:color="FFFFFF" w:fill="auto"/>
      </w:tcPr>
    </w:tblStylePr>
    <w:tblStylePr w:type="lastCol">
      <w:rPr>
        <w:rFonts w:ascii="Arial" w:hAnsi="Arial"/>
        <w:i/>
        <w:color w:val="A6BFDD"/>
        <w:sz w:val="22"/>
      </w:rPr>
      <w:tblPr/>
      <w:tcPr>
        <w:tcBorders>
          <w:top w:val="none" w:sz="4" w:space="0" w:color="000000"/>
          <w:left w:val="single" w:sz="4" w:space="0" w:color="A6BFDD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fill="DAE5F1"/>
      </w:tcPr>
    </w:tblStylePr>
    <w:tblStylePr w:type="band1Horz">
      <w:rPr>
        <w:rFonts w:ascii="Arial" w:hAnsi="Arial"/>
        <w:color w:val="A6BFDD"/>
        <w:sz w:val="22"/>
      </w:rPr>
      <w:tblPr/>
      <w:tcPr>
        <w:shd w:val="clear" w:color="DAE5F1" w:fill="DAE5F1"/>
      </w:tcPr>
    </w:tblStylePr>
    <w:tblStylePr w:type="band2Horz">
      <w:rPr>
        <w:rFonts w:ascii="Arial" w:hAnsi="Arial"/>
        <w:color w:val="A6BFDD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rFonts w:ascii="Arial" w:hAnsi="Arial"/>
        <w:b/>
        <w:color w:val="D996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/>
          <w:right w:val="none" w:sz="4" w:space="0" w:color="000000"/>
        </w:tcBorders>
        <w:shd w:val="clear" w:color="FFFFFF" w:fill="FFFFFF"/>
      </w:tcPr>
    </w:tblStylePr>
    <w:tblStylePr w:type="lastRow">
      <w:rPr>
        <w:rFonts w:ascii="Arial" w:hAnsi="Arial"/>
        <w:b/>
        <w:color w:val="D99695"/>
        <w:sz w:val="22"/>
      </w:rPr>
      <w:tblPr/>
      <w:tcPr>
        <w:tcBorders>
          <w:top w:val="single" w:sz="4" w:space="0" w:color="D996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D996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/>
        </w:tcBorders>
        <w:shd w:val="clear" w:color="FFFFFF" w:fill="auto"/>
      </w:tcPr>
    </w:tblStylePr>
    <w:tblStylePr w:type="lastCol">
      <w:rPr>
        <w:rFonts w:ascii="Arial" w:hAnsi="Arial"/>
        <w:i/>
        <w:color w:val="D99695"/>
        <w:sz w:val="22"/>
      </w:rPr>
      <w:tblPr/>
      <w:tcPr>
        <w:tcBorders>
          <w:top w:val="none" w:sz="4" w:space="0" w:color="000000"/>
          <w:left w:val="single" w:sz="4" w:space="0" w:color="D99695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fill="F2DCDC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2DCDC" w:fill="F2DCDC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rFonts w:ascii="Arial" w:hAnsi="Arial"/>
        <w:b/>
        <w:color w:val="9ABB59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/>
          <w:right w:val="none" w:sz="4" w:space="0" w:color="000000"/>
        </w:tcBorders>
        <w:shd w:val="clear" w:color="FFFFFF" w:fill="FFFFFF"/>
      </w:tcPr>
    </w:tblStylePr>
    <w:tblStylePr w:type="lastRow">
      <w:rPr>
        <w:rFonts w:ascii="Arial" w:hAnsi="Arial"/>
        <w:b/>
        <w:color w:val="9ABB59"/>
        <w:sz w:val="22"/>
      </w:rPr>
      <w:tblPr/>
      <w:tcPr>
        <w:tcBorders>
          <w:top w:val="single" w:sz="4" w:space="0" w:color="9ABB59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9ABB59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/>
        </w:tcBorders>
        <w:shd w:val="clear" w:color="FFFFFF" w:fill="auto"/>
      </w:tcPr>
    </w:tblStylePr>
    <w:tblStylePr w:type="lastCol">
      <w:rPr>
        <w:rFonts w:ascii="Arial" w:hAnsi="Arial"/>
        <w:i/>
        <w:color w:val="9ABB59"/>
        <w:sz w:val="22"/>
      </w:rPr>
      <w:tblPr/>
      <w:tcPr>
        <w:tcBorders>
          <w:top w:val="none" w:sz="4" w:space="0" w:color="000000"/>
          <w:left w:val="single" w:sz="4" w:space="0" w:color="9ABB59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fill="EAF1DC"/>
      </w:tcPr>
    </w:tblStylePr>
    <w:tblStylePr w:type="band1Horz">
      <w:rPr>
        <w:rFonts w:ascii="Arial" w:hAnsi="Arial"/>
        <w:color w:val="9ABB59"/>
        <w:sz w:val="22"/>
      </w:rPr>
      <w:tblPr/>
      <w:tcPr>
        <w:shd w:val="clear" w:color="EAF1DC" w:fill="EAF1DC"/>
      </w:tcPr>
    </w:tblStylePr>
    <w:tblStylePr w:type="band2Horz">
      <w:rPr>
        <w:rFonts w:ascii="Arial" w:hAnsi="Arial"/>
        <w:color w:val="9ABB59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rFonts w:ascii="Arial" w:hAnsi="Arial"/>
        <w:b/>
        <w:color w:val="B2A1C6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/>
          <w:right w:val="none" w:sz="4" w:space="0" w:color="000000"/>
        </w:tcBorders>
        <w:shd w:val="clear" w:color="FFFFFF" w:fill="FFFFFF"/>
      </w:tcPr>
    </w:tblStylePr>
    <w:tblStylePr w:type="lastRow">
      <w:rPr>
        <w:rFonts w:ascii="Arial" w:hAnsi="Arial"/>
        <w:b/>
        <w:color w:val="B2A1C6"/>
        <w:sz w:val="22"/>
      </w:rPr>
      <w:tblPr/>
      <w:tcPr>
        <w:tcBorders>
          <w:top w:val="single" w:sz="4" w:space="0" w:color="B2A1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2A1C6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/>
        </w:tcBorders>
        <w:shd w:val="clear" w:color="FFFFFF" w:fill="auto"/>
      </w:tcPr>
    </w:tblStylePr>
    <w:tblStylePr w:type="lastCol">
      <w:rPr>
        <w:rFonts w:ascii="Arial" w:hAnsi="Arial"/>
        <w:i/>
        <w:color w:val="B2A1C6"/>
        <w:sz w:val="22"/>
      </w:rPr>
      <w:tblPr/>
      <w:tcPr>
        <w:tcBorders>
          <w:top w:val="none" w:sz="4" w:space="0" w:color="000000"/>
          <w:left w:val="single" w:sz="4" w:space="0" w:color="B2A1C6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fill="E5DFEC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E5DFEC" w:fill="E5DFEC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</w:tblPr>
    <w:tblStylePr w:type="firstRow">
      <w:rPr>
        <w:rFonts w:ascii="Arial" w:hAnsi="Arial"/>
        <w:b/>
        <w:color w:val="266779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/>
          <w:right w:val="none" w:sz="4" w:space="0" w:color="000000"/>
        </w:tcBorders>
        <w:shd w:val="clear" w:color="FFFFFF" w:fill="FFFFFF"/>
      </w:tcPr>
    </w:tblStylePr>
    <w:tblStylePr w:type="lastRow">
      <w:rPr>
        <w:rFonts w:ascii="Arial" w:hAnsi="Arial"/>
        <w:b/>
        <w:color w:val="266779"/>
        <w:sz w:val="22"/>
      </w:rPr>
      <w:tblPr/>
      <w:tcPr>
        <w:tcBorders>
          <w:top w:val="single" w:sz="4" w:space="0" w:color="99D0D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266779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/>
        </w:tcBorders>
        <w:shd w:val="clear" w:color="FFFFFF" w:fill="auto"/>
      </w:tcPr>
    </w:tblStylePr>
    <w:tblStylePr w:type="lastCol">
      <w:rPr>
        <w:rFonts w:ascii="Arial" w:hAnsi="Arial"/>
        <w:i/>
        <w:color w:val="266779"/>
        <w:sz w:val="22"/>
      </w:rPr>
      <w:tblPr/>
      <w:tcPr>
        <w:tcBorders>
          <w:top w:val="none" w:sz="4" w:space="0" w:color="000000"/>
          <w:left w:val="single" w:sz="4" w:space="0" w:color="99D0D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fill="DAEEF3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DAEEF3" w:fill="DAEEF3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</w:tblPr>
    <w:tblStylePr w:type="firstRow">
      <w:rPr>
        <w:rFonts w:ascii="Arial" w:hAnsi="Arial"/>
        <w:b/>
        <w:color w:val="B15407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/>
          <w:right w:val="none" w:sz="4" w:space="0" w:color="000000"/>
        </w:tcBorders>
        <w:shd w:val="clear" w:color="FFFFFF" w:fill="FFFFFF"/>
      </w:tcPr>
    </w:tblStylePr>
    <w:tblStylePr w:type="lastRow">
      <w:rPr>
        <w:rFonts w:ascii="Arial" w:hAnsi="Arial"/>
        <w:b/>
        <w:color w:val="B15407"/>
        <w:sz w:val="22"/>
      </w:rPr>
      <w:tblPr/>
      <w:tcPr>
        <w:tcBorders>
          <w:top w:val="single" w:sz="4" w:space="0" w:color="FAC39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15407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/>
        </w:tcBorders>
        <w:shd w:val="clear" w:color="FFFFFF" w:fill="auto"/>
      </w:tcPr>
    </w:tblStylePr>
    <w:tblStylePr w:type="lastCol">
      <w:rPr>
        <w:rFonts w:ascii="Arial" w:hAnsi="Arial"/>
        <w:i/>
        <w:color w:val="B15407"/>
        <w:sz w:val="22"/>
      </w:rPr>
      <w:tblPr/>
      <w:tcPr>
        <w:tcBorders>
          <w:top w:val="none" w:sz="4" w:space="0" w:color="000000"/>
          <w:left w:val="single" w:sz="4" w:space="0" w:color="FAC396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fill="FDE9D8"/>
      </w:tcPr>
    </w:tblStylePr>
    <w:tblStylePr w:type="band1Horz">
      <w:rPr>
        <w:rFonts w:ascii="Arial" w:hAnsi="Arial"/>
        <w:color w:val="B15407"/>
        <w:sz w:val="22"/>
      </w:rPr>
      <w:tblPr/>
      <w:tcPr>
        <w:shd w:val="clear" w:color="FDE9D8" w:fill="FDE9D8"/>
      </w:tcPr>
    </w:tblStylePr>
    <w:tblStylePr w:type="band2Horz">
      <w:rPr>
        <w:rFonts w:ascii="Arial" w:hAnsi="Arial"/>
        <w:color w:val="B15407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BFBFBF"/>
      </w:tcPr>
    </w:tblStylePr>
    <w:tblStylePr w:type="band1Horz">
      <w:tblPr/>
      <w:tcPr>
        <w:shd w:val="clear" w:color="BFBFBF" w:fill="BFBFBF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fill="D2DFEE"/>
      </w:tcPr>
    </w:tblStylePr>
    <w:tblStylePr w:type="band1Horz">
      <w:tblPr/>
      <w:tcPr>
        <w:shd w:val="clear" w:color="D2DFEE" w:fill="D2DFEE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fill="EFD2D2"/>
      </w:tcPr>
    </w:tblStylePr>
    <w:tblStylePr w:type="band1Horz">
      <w:tblPr/>
      <w:tcPr>
        <w:shd w:val="clear" w:color="EFD2D2" w:fill="EFD2D2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fill="E5EED5"/>
      </w:tcPr>
    </w:tblStylePr>
    <w:tblStylePr w:type="band1Horz">
      <w:tblPr/>
      <w:tcPr>
        <w:shd w:val="clear" w:color="E5EED5" w:fill="E5EED5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fill="DFD8E7"/>
      </w:tcPr>
    </w:tblStylePr>
    <w:tblStylePr w:type="band1Horz">
      <w:tblPr/>
      <w:tcPr>
        <w:shd w:val="clear" w:color="DFD8E7" w:fill="DFD8E7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fill="D1EAF0"/>
      </w:tcPr>
    </w:tblStylePr>
    <w:tblStylePr w:type="band1Horz">
      <w:tblPr/>
      <w:tcPr>
        <w:shd w:val="clear" w:color="D1EAF0" w:fill="D1EAF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fill="FDE4D0"/>
      </w:tcPr>
    </w:tblStylePr>
    <w:tblStylePr w:type="band1Horz">
      <w:tblPr/>
      <w:tcPr>
        <w:shd w:val="clear" w:color="FDE4D0" w:fill="FDE4D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/>
        <w:bottom w:val="single" w:sz="4" w:space="0" w:color="6F6F6F"/>
        <w:insideH w:val="single" w:sz="4" w:space="0" w:color="6F6F6F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9BB7D9"/>
        <w:bottom w:val="single" w:sz="4" w:space="0" w:color="9BB7D9"/>
        <w:insideH w:val="single" w:sz="4" w:space="0" w:color="9BB7D9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/>
          <w:left w:val="none" w:sz="4" w:space="0" w:color="000000"/>
          <w:bottom w:val="single" w:sz="4" w:space="0" w:color="9BB7D9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/>
          <w:left w:val="none" w:sz="4" w:space="0" w:color="000000"/>
          <w:bottom w:val="single" w:sz="4" w:space="0" w:color="9BB7D9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fill="D2DFEE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DB9B9A"/>
        <w:bottom w:val="single" w:sz="4" w:space="0" w:color="DB9B9A"/>
        <w:insideH w:val="single" w:sz="4" w:space="0" w:color="DB9B9A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/>
          <w:left w:val="none" w:sz="4" w:space="0" w:color="000000"/>
          <w:bottom w:val="single" w:sz="4" w:space="0" w:color="DB9B9A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/>
          <w:left w:val="none" w:sz="4" w:space="0" w:color="000000"/>
          <w:bottom w:val="single" w:sz="4" w:space="0" w:color="DB9B9A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fill="EFD2D2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6D8A1"/>
        <w:bottom w:val="single" w:sz="4" w:space="0" w:color="C6D8A1"/>
        <w:insideH w:val="single" w:sz="4" w:space="0" w:color="C6D8A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/>
          <w:left w:val="none" w:sz="4" w:space="0" w:color="000000"/>
          <w:bottom w:val="single" w:sz="4" w:space="0" w:color="C6D8A1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/>
          <w:left w:val="none" w:sz="4" w:space="0" w:color="000000"/>
          <w:bottom w:val="single" w:sz="4" w:space="0" w:color="C6D8A1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fill="E5EED5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B7A7CA"/>
        <w:bottom w:val="single" w:sz="4" w:space="0" w:color="B7A7CA"/>
        <w:insideH w:val="single" w:sz="4" w:space="0" w:color="B7A7CA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/>
          <w:left w:val="none" w:sz="4" w:space="0" w:color="000000"/>
          <w:bottom w:val="single" w:sz="4" w:space="0" w:color="B7A7CA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/>
          <w:left w:val="none" w:sz="4" w:space="0" w:color="000000"/>
          <w:bottom w:val="single" w:sz="4" w:space="0" w:color="B7A7CA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fill="DFD8E7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9D0DE"/>
        <w:bottom w:val="single" w:sz="4" w:space="0" w:color="99D0DE"/>
        <w:insideH w:val="single" w:sz="4" w:space="0" w:color="99D0DE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/>
          <w:left w:val="none" w:sz="4" w:space="0" w:color="000000"/>
          <w:bottom w:val="single" w:sz="4" w:space="0" w:color="99D0DE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/>
          <w:left w:val="none" w:sz="4" w:space="0" w:color="000000"/>
          <w:bottom w:val="single" w:sz="4" w:space="0" w:color="99D0DE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fill="D1EAF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FAC396"/>
        <w:bottom w:val="single" w:sz="4" w:space="0" w:color="FAC396"/>
        <w:insideH w:val="single" w:sz="4" w:space="0" w:color="FAC396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/>
          <w:left w:val="none" w:sz="4" w:space="0" w:color="000000"/>
          <w:bottom w:val="single" w:sz="4" w:space="0" w:color="FAC396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/>
          <w:left w:val="none" w:sz="4" w:space="0" w:color="000000"/>
          <w:bottom w:val="single" w:sz="4" w:space="0" w:color="FAC396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fill="FDE4D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/>
          <w:right w:val="single" w:sz="4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/>
          <w:bottom w:val="single" w:sz="4" w:space="0" w:color="4F81BD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fill="D9969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/>
          <w:right w:val="single" w:sz="4" w:space="0" w:color="D9969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/>
          <w:bottom w:val="single" w:sz="4" w:space="0" w:color="D99695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fill="C3D69B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/>
          <w:right w:val="single" w:sz="4" w:space="0" w:color="C3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/>
          <w:bottom w:val="single" w:sz="4" w:space="0" w:color="C3D69B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fill="B2A1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/>
          <w:right w:val="single" w:sz="4" w:space="0" w:color="B2A1C6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/>
          <w:bottom w:val="single" w:sz="4" w:space="0" w:color="B2A1C6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fill="92CCDC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/>
          <w:right w:val="single" w:sz="4" w:space="0" w:color="92CC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/>
          <w:bottom w:val="single" w:sz="4" w:space="0" w:color="92CCDC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fill="FAC09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/>
          <w:right w:val="single" w:sz="4" w:space="0" w:color="FAC09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/>
          <w:bottom w:val="single" w:sz="4" w:space="0" w:color="FAC090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fill="D2DFEE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fill="EFD2D2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fill="E5EED5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fill="DFD8E7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fill="D1EAF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fill="FDE4D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7F7F7F"/>
          <w:bottom w:val="single" w:sz="12" w:space="0" w:color="FFFFFF"/>
        </w:tcBorders>
        <w:shd w:val="clear" w:color="7F7F7F" w:fill="7F7F7F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7F7F7F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7F7F7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7F7F7F" w:fill="7F7F7F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7F7F7F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7F7F7F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4F81BD"/>
          <w:bottom w:val="single" w:sz="12" w:space="0" w:color="FFFFFF"/>
        </w:tcBorders>
        <w:shd w:val="clear" w:color="4F81BD" w:fill="4F81BD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4F81BD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4F81BD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4F81BD" w:fill="4F81BD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4F81BD" w:fill="4F81BD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4F81BD" w:fill="4F81BD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D99695"/>
          <w:bottom w:val="single" w:sz="12" w:space="0" w:color="FFFFFF"/>
        </w:tcBorders>
        <w:shd w:val="clear" w:color="D99695" w:fill="D99695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D99695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D99695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D99695" w:fill="D99695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D99695" w:fill="D99695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D99695" w:fill="D99695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C3D69B"/>
          <w:bottom w:val="single" w:sz="12" w:space="0" w:color="FFFFFF"/>
        </w:tcBorders>
        <w:shd w:val="clear" w:color="C3D69B" w:fill="C3D69B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C3D69B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C3D69B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C3D69B" w:fill="C3D69B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C3D69B" w:fill="C3D69B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C3D69B" w:fill="C3D69B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B2A1C6"/>
          <w:bottom w:val="single" w:sz="12" w:space="0" w:color="FFFFFF"/>
        </w:tcBorders>
        <w:shd w:val="clear" w:color="B2A1C6" w:fill="B2A1C6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B2A1C6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B2A1C6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B2A1C6" w:fill="B2A1C6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B2A1C6" w:fill="B2A1C6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B2A1C6" w:fill="B2A1C6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92CCDC"/>
          <w:bottom w:val="single" w:sz="12" w:space="0" w:color="FFFFFF"/>
        </w:tcBorders>
        <w:shd w:val="clear" w:color="92CCDC" w:fill="92CCDC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92CCDC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92CCDC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92CCDC" w:fill="92CCDC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92CCDC" w:fill="92CCDC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92CCDC" w:fill="92CCDC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FAC090"/>
          <w:bottom w:val="single" w:sz="12" w:space="0" w:color="FFFFFF"/>
        </w:tcBorders>
        <w:shd w:val="clear" w:color="FAC090" w:fill="FAC090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FAC090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FAC090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AC090" w:fill="FAC090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AC090" w:fill="FAC090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AC090" w:fill="FAC090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color w:val="000000"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color w:val="000000"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blPr/>
      <w:tcPr>
        <w:shd w:val="clear" w:color="BFBFBF" w:fill="BFBFBF"/>
      </w:tcPr>
    </w:tblStylePr>
    <w:tblStylePr w:type="band1Horz">
      <w:rPr>
        <w:rFonts w:ascii="Arial" w:hAnsi="Arial"/>
        <w:color w:val="000000"/>
        <w:sz w:val="22"/>
      </w:rPr>
      <w:tblPr/>
      <w:tcPr>
        <w:shd w:val="clear" w:color="BFBFBF" w:fill="BFBFBF"/>
      </w:tcPr>
    </w:tblStylePr>
    <w:tblStylePr w:type="band2Horz">
      <w:rPr>
        <w:rFonts w:ascii="Arial" w:hAnsi="Arial"/>
        <w:color w:val="000000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4F81BD"/>
        <w:bottom w:val="single" w:sz="4" w:space="0" w:color="4F81BD"/>
      </w:tblBorders>
    </w:tblPr>
    <w:tblStylePr w:type="firstRow">
      <w:rPr>
        <w:b/>
        <w:color w:val="2A4A71"/>
      </w:rPr>
      <w:tblPr/>
      <w:tcPr>
        <w:tcBorders>
          <w:bottom w:val="single" w:sz="4" w:space="0" w:color="4F81BD"/>
        </w:tcBorders>
      </w:tcPr>
    </w:tblStylePr>
    <w:tblStylePr w:type="lastRow">
      <w:rPr>
        <w:b/>
        <w:color w:val="2A4A71"/>
      </w:rPr>
      <w:tblPr/>
      <w:tcPr>
        <w:tcBorders>
          <w:top w:val="single" w:sz="4" w:space="0" w:color="4F81BD"/>
        </w:tcBorders>
      </w:tcPr>
    </w:tblStylePr>
    <w:tblStylePr w:type="firstCol">
      <w:rPr>
        <w:b/>
        <w:color w:val="2A4A71"/>
      </w:rPr>
    </w:tblStylePr>
    <w:tblStylePr w:type="lastCol">
      <w:rPr>
        <w:b/>
        <w:color w:val="2A4A71"/>
      </w:rPr>
    </w:tblStylePr>
    <w:tblStylePr w:type="band1Vert">
      <w:tblPr/>
      <w:tcPr>
        <w:shd w:val="clear" w:color="D2DFEE" w:fill="D2DFEE"/>
      </w:tcPr>
    </w:tblStylePr>
    <w:tblStylePr w:type="band1Horz">
      <w:rPr>
        <w:rFonts w:ascii="Arial" w:hAnsi="Arial"/>
        <w:color w:val="2A4A71"/>
        <w:sz w:val="22"/>
      </w:rPr>
      <w:tblPr/>
      <w:tcPr>
        <w:shd w:val="clear" w:color="D2DFEE" w:fill="D2DFEE"/>
      </w:tcPr>
    </w:tblStylePr>
    <w:tblStylePr w:type="band2Horz">
      <w:rPr>
        <w:rFonts w:ascii="Arial" w:hAnsi="Arial"/>
        <w:color w:val="2A4A71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D99695"/>
        <w:bottom w:val="single" w:sz="4" w:space="0" w:color="D99695"/>
      </w:tblBorders>
    </w:tblPr>
    <w:tblStylePr w:type="firstRow">
      <w:rPr>
        <w:b/>
        <w:color w:val="D99695"/>
      </w:rPr>
      <w:tblPr/>
      <w:tcPr>
        <w:tcBorders>
          <w:bottom w:val="single" w:sz="4" w:space="0" w:color="D99695"/>
        </w:tcBorders>
      </w:tcPr>
    </w:tblStylePr>
    <w:tblStylePr w:type="lastRow">
      <w:rPr>
        <w:b/>
        <w:color w:val="D99695"/>
      </w:rPr>
      <w:tblPr/>
      <w:tcPr>
        <w:tcBorders>
          <w:top w:val="single" w:sz="4" w:space="0" w:color="D99695"/>
        </w:tcBorders>
      </w:tcPr>
    </w:tblStylePr>
    <w:tblStylePr w:type="firstCol">
      <w:rPr>
        <w:b/>
        <w:color w:val="D99695"/>
      </w:rPr>
    </w:tblStylePr>
    <w:tblStylePr w:type="lastCol">
      <w:rPr>
        <w:b/>
        <w:color w:val="D99695"/>
      </w:rPr>
    </w:tblStylePr>
    <w:tblStylePr w:type="band1Vert">
      <w:tblPr/>
      <w:tcPr>
        <w:shd w:val="clear" w:color="EFD2D2" w:fill="EFD2D2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EFD2D2" w:fill="EFD2D2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3D69B"/>
        <w:bottom w:val="single" w:sz="4" w:space="0" w:color="C3D69B"/>
      </w:tblBorders>
    </w:tblPr>
    <w:tblStylePr w:type="firstRow">
      <w:rPr>
        <w:b/>
        <w:color w:val="C3D69B"/>
      </w:rPr>
      <w:tblPr/>
      <w:tcPr>
        <w:tcBorders>
          <w:bottom w:val="single" w:sz="4" w:space="0" w:color="C3D69B"/>
        </w:tcBorders>
      </w:tcPr>
    </w:tblStylePr>
    <w:tblStylePr w:type="lastRow">
      <w:rPr>
        <w:b/>
        <w:color w:val="C3D69B"/>
      </w:rPr>
      <w:tblPr/>
      <w:tcPr>
        <w:tcBorders>
          <w:top w:val="single" w:sz="4" w:space="0" w:color="C3D69B"/>
        </w:tcBorders>
      </w:tcPr>
    </w:tblStylePr>
    <w:tblStylePr w:type="firstCol">
      <w:rPr>
        <w:b/>
        <w:color w:val="C3D69B"/>
      </w:rPr>
    </w:tblStylePr>
    <w:tblStylePr w:type="lastCol">
      <w:rPr>
        <w:b/>
        <w:color w:val="C3D69B"/>
      </w:rPr>
    </w:tblStylePr>
    <w:tblStylePr w:type="band1Vert">
      <w:tblPr/>
      <w:tcPr>
        <w:shd w:val="clear" w:color="E5EED5" w:fill="E5EED5"/>
      </w:tcPr>
    </w:tblStylePr>
    <w:tblStylePr w:type="band1Horz">
      <w:rPr>
        <w:rFonts w:ascii="Arial" w:hAnsi="Arial"/>
        <w:color w:val="C3D69B"/>
        <w:sz w:val="22"/>
      </w:rPr>
      <w:tblPr/>
      <w:tcPr>
        <w:shd w:val="clear" w:color="E5EED5" w:fill="E5EED5"/>
      </w:tcPr>
    </w:tblStylePr>
    <w:tblStylePr w:type="band2Horz">
      <w:rPr>
        <w:rFonts w:ascii="Arial" w:hAnsi="Arial"/>
        <w:color w:val="C3D69B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B2A1C6"/>
        <w:bottom w:val="single" w:sz="4" w:space="0" w:color="B2A1C6"/>
      </w:tblBorders>
    </w:tblPr>
    <w:tblStylePr w:type="firstRow">
      <w:rPr>
        <w:b/>
        <w:color w:val="B2A1C6"/>
      </w:rPr>
      <w:tblPr/>
      <w:tcPr>
        <w:tcBorders>
          <w:bottom w:val="single" w:sz="4" w:space="0" w:color="B2A1C6"/>
        </w:tcBorders>
      </w:tcPr>
    </w:tblStylePr>
    <w:tblStylePr w:type="lastRow">
      <w:rPr>
        <w:b/>
        <w:color w:val="B2A1C6"/>
      </w:rPr>
      <w:tblPr/>
      <w:tcPr>
        <w:tcBorders>
          <w:top w:val="single" w:sz="4" w:space="0" w:color="B2A1C6"/>
        </w:tcBorders>
      </w:tc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DFD8E7" w:fill="DFD8E7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DFD8E7" w:fill="DFD8E7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92CCDC"/>
        <w:bottom w:val="single" w:sz="4" w:space="0" w:color="92CCDC"/>
      </w:tblBorders>
    </w:tblPr>
    <w:tblStylePr w:type="firstRow">
      <w:rPr>
        <w:b/>
        <w:color w:val="92CCDC"/>
      </w:rPr>
      <w:tblPr/>
      <w:tcPr>
        <w:tcBorders>
          <w:bottom w:val="single" w:sz="4" w:space="0" w:color="92CCDC"/>
        </w:tcBorders>
      </w:tcPr>
    </w:tblStylePr>
    <w:tblStylePr w:type="lastRow">
      <w:rPr>
        <w:b/>
        <w:color w:val="92CCDC"/>
      </w:rPr>
      <w:tblPr/>
      <w:tcPr>
        <w:tcBorders>
          <w:top w:val="single" w:sz="4" w:space="0" w:color="92CCDC"/>
        </w:tcBorders>
      </w:tcPr>
    </w:tblStylePr>
    <w:tblStylePr w:type="firstCol">
      <w:rPr>
        <w:b/>
        <w:color w:val="92CCDC"/>
      </w:rPr>
    </w:tblStylePr>
    <w:tblStylePr w:type="lastCol">
      <w:rPr>
        <w:b/>
        <w:color w:val="92CCDC"/>
      </w:rPr>
    </w:tblStylePr>
    <w:tblStylePr w:type="band1Vert">
      <w:tblPr/>
      <w:tcPr>
        <w:shd w:val="clear" w:color="D1EAF0" w:fill="D1EAF0"/>
      </w:tcPr>
    </w:tblStylePr>
    <w:tblStylePr w:type="band1Horz">
      <w:rPr>
        <w:rFonts w:ascii="Arial" w:hAnsi="Arial"/>
        <w:color w:val="92CCDC"/>
        <w:sz w:val="22"/>
      </w:rPr>
      <w:tblPr/>
      <w:tcPr>
        <w:shd w:val="clear" w:color="D1EAF0" w:fill="D1EAF0"/>
      </w:tcPr>
    </w:tblStylePr>
    <w:tblStylePr w:type="band2Horz">
      <w:rPr>
        <w:rFonts w:ascii="Arial" w:hAnsi="Arial"/>
        <w:color w:val="92CCDC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FAC090"/>
        <w:bottom w:val="single" w:sz="4" w:space="0" w:color="FAC090"/>
      </w:tblBorders>
    </w:tblPr>
    <w:tblStylePr w:type="firstRow">
      <w:rPr>
        <w:b/>
        <w:color w:val="FAC090"/>
      </w:rPr>
      <w:tblPr/>
      <w:tcPr>
        <w:tcBorders>
          <w:bottom w:val="single" w:sz="4" w:space="0" w:color="FAC090"/>
        </w:tcBorders>
      </w:tcPr>
    </w:tblStylePr>
    <w:tblStylePr w:type="lastRow">
      <w:rPr>
        <w:b/>
        <w:color w:val="FAC090"/>
      </w:rPr>
      <w:tblPr/>
      <w:tcPr>
        <w:tcBorders>
          <w:top w:val="single" w:sz="4" w:space="0" w:color="FAC090"/>
        </w:tcBorders>
      </w:tcPr>
    </w:tblStylePr>
    <w:tblStylePr w:type="firstCol">
      <w:rPr>
        <w:b/>
        <w:color w:val="FAC090"/>
      </w:rPr>
    </w:tblStylePr>
    <w:tblStylePr w:type="lastCol">
      <w:rPr>
        <w:b/>
        <w:color w:val="FAC090"/>
      </w:rPr>
    </w:tblStylePr>
    <w:tblStylePr w:type="band1Vert">
      <w:tblPr/>
      <w:tcPr>
        <w:shd w:val="clear" w:color="FDE4D0" w:fill="FDE4D0"/>
      </w:tcPr>
    </w:tblStylePr>
    <w:tblStylePr w:type="band1Horz">
      <w:rPr>
        <w:rFonts w:ascii="Arial" w:hAnsi="Arial"/>
        <w:color w:val="FAC090"/>
        <w:sz w:val="22"/>
      </w:rPr>
      <w:tblPr/>
      <w:tcPr>
        <w:shd w:val="clear" w:color="FDE4D0" w:fill="FDE4D0"/>
      </w:tcPr>
    </w:tblStylePr>
    <w:tblStylePr w:type="band2Horz">
      <w:rPr>
        <w:rFonts w:ascii="Arial" w:hAnsi="Arial"/>
        <w:color w:val="FAC090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/>
      </w:tblBorders>
    </w:tblPr>
    <w:tblStylePr w:type="firstRow">
      <w:rPr>
        <w:rFonts w:ascii="Arial" w:hAnsi="Arial"/>
        <w:i/>
        <w:color w:val="7F7F7F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/>
          <w:right w:val="none" w:sz="4" w:space="0" w:color="000000"/>
        </w:tcBorders>
        <w:shd w:val="clear" w:color="FFFFFF" w:fill="FFFFFF"/>
      </w:tcPr>
    </w:tblStylePr>
    <w:tblStylePr w:type="lastRow">
      <w:rPr>
        <w:rFonts w:ascii="Arial" w:hAnsi="Arial"/>
        <w:i/>
        <w:color w:val="7F7F7F"/>
        <w:sz w:val="22"/>
      </w:rPr>
      <w:tblPr/>
      <w:tcPr>
        <w:tcBorders>
          <w:top w:val="single" w:sz="4" w:space="0" w:color="7F7F7F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4" w:space="0" w:color="000000"/>
          <w:left w:val="single" w:sz="4" w:space="0" w:color="7F7F7F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fill="BFBFBF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BFBFBF" w:fill="BFBFBF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4F81BD"/>
      </w:tblBorders>
    </w:tblPr>
    <w:tblStylePr w:type="firstRow">
      <w:rPr>
        <w:rFonts w:ascii="Arial" w:hAnsi="Arial"/>
        <w:i/>
        <w:color w:val="2A4A71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/>
          <w:right w:val="none" w:sz="4" w:space="0" w:color="000000"/>
        </w:tcBorders>
        <w:shd w:val="clear" w:color="FFFFFF" w:fill="FFFFFF"/>
      </w:tcPr>
    </w:tblStylePr>
    <w:tblStylePr w:type="lastRow">
      <w:rPr>
        <w:rFonts w:ascii="Arial" w:hAnsi="Arial"/>
        <w:i/>
        <w:color w:val="2A4A71"/>
        <w:sz w:val="22"/>
      </w:rPr>
      <w:tblPr/>
      <w:tcPr>
        <w:tcBorders>
          <w:top w:val="single" w:sz="4" w:space="0" w:color="4F81BD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2A4A71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/>
        </w:tcBorders>
        <w:shd w:val="clear" w:color="FFFFFF" w:fill="auto"/>
      </w:tcPr>
    </w:tblStylePr>
    <w:tblStylePr w:type="lastCol">
      <w:rPr>
        <w:rFonts w:ascii="Arial" w:hAnsi="Arial"/>
        <w:i/>
        <w:color w:val="2A4A71"/>
        <w:sz w:val="22"/>
      </w:rPr>
      <w:tblPr/>
      <w:tcPr>
        <w:tcBorders>
          <w:top w:val="none" w:sz="4" w:space="0" w:color="000000"/>
          <w:left w:val="single" w:sz="4" w:space="0" w:color="4F81BD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fill="D2DFEE"/>
      </w:tcPr>
    </w:tblStylePr>
    <w:tblStylePr w:type="band1Horz">
      <w:rPr>
        <w:rFonts w:ascii="Arial" w:hAnsi="Arial"/>
        <w:color w:val="2A4A71"/>
        <w:sz w:val="22"/>
      </w:rPr>
      <w:tblPr/>
      <w:tcPr>
        <w:shd w:val="clear" w:color="D2DFEE" w:fill="D2DFEE"/>
      </w:tcPr>
    </w:tblStylePr>
    <w:tblStylePr w:type="band2Horz">
      <w:rPr>
        <w:rFonts w:ascii="Arial" w:hAnsi="Arial"/>
        <w:color w:val="2A4A71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D99695"/>
      </w:tblBorders>
    </w:tblPr>
    <w:tblStylePr w:type="firstRow">
      <w:rPr>
        <w:rFonts w:ascii="Arial" w:hAnsi="Arial"/>
        <w:i/>
        <w:color w:val="D996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/>
          <w:right w:val="none" w:sz="4" w:space="0" w:color="000000"/>
        </w:tcBorders>
        <w:shd w:val="clear" w:color="FFFFFF" w:fill="FFFFFF"/>
      </w:tcPr>
    </w:tblStylePr>
    <w:tblStylePr w:type="lastRow">
      <w:rPr>
        <w:rFonts w:ascii="Arial" w:hAnsi="Arial"/>
        <w:i/>
        <w:color w:val="D99695"/>
        <w:sz w:val="22"/>
      </w:rPr>
      <w:tblPr/>
      <w:tcPr>
        <w:tcBorders>
          <w:top w:val="single" w:sz="4" w:space="0" w:color="D996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D996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/>
        </w:tcBorders>
        <w:shd w:val="clear" w:color="FFFFFF" w:fill="auto"/>
      </w:tcPr>
    </w:tblStylePr>
    <w:tblStylePr w:type="lastCol">
      <w:rPr>
        <w:rFonts w:ascii="Arial" w:hAnsi="Arial"/>
        <w:i/>
        <w:color w:val="D99695"/>
        <w:sz w:val="22"/>
      </w:rPr>
      <w:tblPr/>
      <w:tcPr>
        <w:tcBorders>
          <w:top w:val="none" w:sz="4" w:space="0" w:color="000000"/>
          <w:left w:val="single" w:sz="4" w:space="0" w:color="D99695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fill="EFD2D2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EFD2D2" w:fill="EFD2D2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3D69B"/>
      </w:tblBorders>
    </w:tblPr>
    <w:tblStylePr w:type="firstRow">
      <w:rPr>
        <w:rFonts w:ascii="Arial" w:hAnsi="Arial"/>
        <w:i/>
        <w:color w:val="C3D69B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/>
          <w:right w:val="none" w:sz="4" w:space="0" w:color="000000"/>
        </w:tcBorders>
        <w:shd w:val="clear" w:color="FFFFFF" w:fill="FFFFFF"/>
      </w:tcPr>
    </w:tblStylePr>
    <w:tblStylePr w:type="lastRow">
      <w:rPr>
        <w:rFonts w:ascii="Arial" w:hAnsi="Arial"/>
        <w:i/>
        <w:color w:val="C3D69B"/>
        <w:sz w:val="22"/>
      </w:rPr>
      <w:tblPr/>
      <w:tcPr>
        <w:tcBorders>
          <w:top w:val="single" w:sz="4" w:space="0" w:color="C3D69B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C3D69B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/>
        </w:tcBorders>
        <w:shd w:val="clear" w:color="FFFFFF" w:fill="auto"/>
      </w:tcPr>
    </w:tblStylePr>
    <w:tblStylePr w:type="lastCol">
      <w:rPr>
        <w:rFonts w:ascii="Arial" w:hAnsi="Arial"/>
        <w:i/>
        <w:color w:val="C3D69B"/>
        <w:sz w:val="22"/>
      </w:rPr>
      <w:tblPr/>
      <w:tcPr>
        <w:tcBorders>
          <w:top w:val="none" w:sz="4" w:space="0" w:color="000000"/>
          <w:left w:val="single" w:sz="4" w:space="0" w:color="C3D69B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fill="E5EED5"/>
      </w:tcPr>
    </w:tblStylePr>
    <w:tblStylePr w:type="band1Horz">
      <w:rPr>
        <w:rFonts w:ascii="Arial" w:hAnsi="Arial"/>
        <w:color w:val="C3D69B"/>
        <w:sz w:val="22"/>
      </w:rPr>
      <w:tblPr/>
      <w:tcPr>
        <w:shd w:val="clear" w:color="E5EED5" w:fill="E5EED5"/>
      </w:tcPr>
    </w:tblStylePr>
    <w:tblStylePr w:type="band2Horz">
      <w:rPr>
        <w:rFonts w:ascii="Arial" w:hAnsi="Arial"/>
        <w:color w:val="C3D69B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B2A1C6"/>
      </w:tblBorders>
    </w:tblPr>
    <w:tblStylePr w:type="firstRow">
      <w:rPr>
        <w:rFonts w:ascii="Arial" w:hAnsi="Arial"/>
        <w:i/>
        <w:color w:val="B2A1C6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/>
          <w:right w:val="none" w:sz="4" w:space="0" w:color="000000"/>
        </w:tcBorders>
        <w:shd w:val="clear" w:color="FFFFFF" w:fill="FFFFFF"/>
      </w:tcPr>
    </w:tblStylePr>
    <w:tblStylePr w:type="lastRow">
      <w:rPr>
        <w:rFonts w:ascii="Arial" w:hAnsi="Arial"/>
        <w:i/>
        <w:color w:val="B2A1C6"/>
        <w:sz w:val="22"/>
      </w:rPr>
      <w:tblPr/>
      <w:tcPr>
        <w:tcBorders>
          <w:top w:val="single" w:sz="4" w:space="0" w:color="B2A1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2A1C6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/>
        </w:tcBorders>
        <w:shd w:val="clear" w:color="FFFFFF" w:fill="auto"/>
      </w:tcPr>
    </w:tblStylePr>
    <w:tblStylePr w:type="lastCol">
      <w:rPr>
        <w:rFonts w:ascii="Arial" w:hAnsi="Arial"/>
        <w:i/>
        <w:color w:val="B2A1C6"/>
        <w:sz w:val="22"/>
      </w:rPr>
      <w:tblPr/>
      <w:tcPr>
        <w:tcBorders>
          <w:top w:val="none" w:sz="4" w:space="0" w:color="000000"/>
          <w:left w:val="single" w:sz="4" w:space="0" w:color="B2A1C6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fill="DFD8E7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DFD8E7" w:fill="DFD8E7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92CCDC"/>
      </w:tblBorders>
    </w:tblPr>
    <w:tblStylePr w:type="firstRow">
      <w:rPr>
        <w:rFonts w:ascii="Arial" w:hAnsi="Arial"/>
        <w:i/>
        <w:color w:val="92CCDC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/>
          <w:right w:val="none" w:sz="4" w:space="0" w:color="000000"/>
        </w:tcBorders>
        <w:shd w:val="clear" w:color="FFFFFF" w:fill="FFFFFF"/>
      </w:tcPr>
    </w:tblStylePr>
    <w:tblStylePr w:type="lastRow">
      <w:rPr>
        <w:rFonts w:ascii="Arial" w:hAnsi="Arial"/>
        <w:i/>
        <w:color w:val="92CCDC"/>
        <w:sz w:val="22"/>
      </w:rPr>
      <w:tblPr/>
      <w:tcPr>
        <w:tcBorders>
          <w:top w:val="single" w:sz="4" w:space="0" w:color="92CCDC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92CCDC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/>
        </w:tcBorders>
        <w:shd w:val="clear" w:color="FFFFFF" w:fill="auto"/>
      </w:tcPr>
    </w:tblStylePr>
    <w:tblStylePr w:type="lastCol">
      <w:rPr>
        <w:rFonts w:ascii="Arial" w:hAnsi="Arial"/>
        <w:i/>
        <w:color w:val="92CCDC"/>
        <w:sz w:val="22"/>
      </w:rPr>
      <w:tblPr/>
      <w:tcPr>
        <w:tcBorders>
          <w:top w:val="none" w:sz="4" w:space="0" w:color="000000"/>
          <w:left w:val="single" w:sz="4" w:space="0" w:color="92CCDC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fill="D1EAF0"/>
      </w:tcPr>
    </w:tblStylePr>
    <w:tblStylePr w:type="band1Horz">
      <w:rPr>
        <w:rFonts w:ascii="Arial" w:hAnsi="Arial"/>
        <w:color w:val="92CCDC"/>
        <w:sz w:val="22"/>
      </w:rPr>
      <w:tblPr/>
      <w:tcPr>
        <w:shd w:val="clear" w:color="D1EAF0" w:fill="D1EAF0"/>
      </w:tcPr>
    </w:tblStylePr>
    <w:tblStylePr w:type="band2Horz">
      <w:rPr>
        <w:rFonts w:ascii="Arial" w:hAnsi="Arial"/>
        <w:color w:val="92CCDC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FAC090"/>
      </w:tblBorders>
    </w:tblPr>
    <w:tblStylePr w:type="firstRow">
      <w:rPr>
        <w:rFonts w:ascii="Arial" w:hAnsi="Arial"/>
        <w:i/>
        <w:color w:val="FAC090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/>
          <w:right w:val="none" w:sz="4" w:space="0" w:color="000000"/>
        </w:tcBorders>
        <w:shd w:val="clear" w:color="FFFFFF" w:fill="FFFFFF"/>
      </w:tcPr>
    </w:tblStylePr>
    <w:tblStylePr w:type="lastRow">
      <w:rPr>
        <w:rFonts w:ascii="Arial" w:hAnsi="Arial"/>
        <w:i/>
        <w:color w:val="FAC090"/>
        <w:sz w:val="22"/>
      </w:rPr>
      <w:tblPr/>
      <w:tcPr>
        <w:tcBorders>
          <w:top w:val="single" w:sz="4" w:space="0" w:color="FAC0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FAC090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/>
        </w:tcBorders>
        <w:shd w:val="clear" w:color="FFFFFF" w:fill="auto"/>
      </w:tcPr>
    </w:tblStylePr>
    <w:tblStylePr w:type="lastCol">
      <w:rPr>
        <w:rFonts w:ascii="Arial" w:hAnsi="Arial"/>
        <w:i/>
        <w:color w:val="FAC090"/>
        <w:sz w:val="22"/>
      </w:rPr>
      <w:tblPr/>
      <w:tcPr>
        <w:tcBorders>
          <w:top w:val="none" w:sz="4" w:space="0" w:color="000000"/>
          <w:left w:val="single" w:sz="4" w:space="0" w:color="FAC0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fill="FDE4D0"/>
      </w:tcPr>
    </w:tblStylePr>
    <w:tblStylePr w:type="band1Horz">
      <w:rPr>
        <w:rFonts w:ascii="Arial" w:hAnsi="Arial"/>
        <w:color w:val="FAC090"/>
        <w:sz w:val="22"/>
      </w:rPr>
      <w:tblPr/>
      <w:tcPr>
        <w:shd w:val="clear" w:color="FDE4D0" w:fill="FDE4D0"/>
      </w:tcPr>
    </w:tblStylePr>
    <w:tblStylePr w:type="band2Horz">
      <w:rPr>
        <w:rFonts w:ascii="Arial" w:hAnsi="Arial"/>
        <w:color w:val="FAC090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fill="C7D7EA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fill="C7D7EA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/>
          <w:left w:val="single" w:sz="4" w:space="0" w:color="B7CBE4"/>
          <w:bottom w:val="single" w:sz="4" w:space="0" w:color="B7CBE4"/>
          <w:right w:val="single" w:sz="4" w:space="0" w:color="B7CBE4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/>
          <w:left w:val="single" w:sz="4" w:space="0" w:color="E5B7B6"/>
          <w:bottom w:val="single" w:sz="4" w:space="0" w:color="E5B7B6"/>
          <w:right w:val="single" w:sz="4" w:space="0" w:color="E5B7B6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/>
          <w:left w:val="single" w:sz="4" w:space="0" w:color="D6E3BB"/>
          <w:bottom w:val="single" w:sz="4" w:space="0" w:color="D6E3BB"/>
          <w:right w:val="single" w:sz="4" w:space="0" w:color="D6E3BB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/>
          <w:left w:val="single" w:sz="4" w:space="0" w:color="CBC0D9"/>
          <w:bottom w:val="single" w:sz="4" w:space="0" w:color="CBC0D9"/>
          <w:right w:val="single" w:sz="4" w:space="0" w:color="CBC0D9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color w:val="365F91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color w:val="365F91"/>
      <w:sz w:val="32"/>
      <w:szCs w:val="32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color w:val="365F91"/>
      <w:sz w:val="28"/>
      <w:szCs w:val="28"/>
    </w:rPr>
  </w:style>
  <w:style w:type="character" w:customStyle="1" w:styleId="Heading4Char">
    <w:name w:val="Heading 4 Char"/>
    <w:uiPriority w:val="9"/>
    <w:rPr>
      <w:rFonts w:ascii="Arial" w:eastAsia="Arial" w:hAnsi="Arial" w:cs="Arial"/>
      <w:i/>
      <w:iCs/>
      <w:color w:val="365F91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color w:val="365F91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i/>
      <w:iCs/>
      <w:color w:val="595959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color w:val="595959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color w:val="272727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color w:val="272727"/>
    </w:rPr>
  </w:style>
  <w:style w:type="paragraph" w:styleId="a4">
    <w:name w:val="Title"/>
    <w:basedOn w:val="a"/>
    <w:link w:val="a5"/>
    <w:qFormat/>
    <w:pPr>
      <w:spacing w:before="60" w:after="60"/>
      <w:jc w:val="center"/>
    </w:pPr>
    <w:rPr>
      <w:rFonts w:ascii="Arial" w:hAnsi="Arial"/>
      <w:b/>
      <w:sz w:val="20"/>
      <w:szCs w:val="20"/>
      <w:lang w:val="en-US" w:eastAsia="en-US"/>
    </w:rPr>
  </w:style>
  <w:style w:type="character" w:customStyle="1" w:styleId="TitleChar">
    <w:name w:val="Title Char"/>
    <w:uiPriority w:val="10"/>
    <w:rPr>
      <w:rFonts w:ascii="Arial" w:eastAsia="Arial" w:hAnsi="Arial" w:cs="Arial"/>
      <w:spacing w:val="-10"/>
      <w:sz w:val="56"/>
      <w:szCs w:val="56"/>
    </w:rPr>
  </w:style>
  <w:style w:type="paragraph" w:styleId="a6">
    <w:name w:val="Subtitle"/>
    <w:basedOn w:val="a"/>
    <w:next w:val="a"/>
    <w:link w:val="a7"/>
    <w:uiPriority w:val="11"/>
    <w:qFormat/>
    <w:pPr>
      <w:numPr>
        <w:ilvl w:val="1"/>
      </w:numPr>
    </w:pPr>
    <w:rPr>
      <w:color w:val="595959"/>
      <w:spacing w:val="15"/>
      <w:sz w:val="28"/>
      <w:szCs w:val="28"/>
    </w:rPr>
  </w:style>
  <w:style w:type="character" w:customStyle="1" w:styleId="a7">
    <w:name w:val="Подзаголовок Знак"/>
    <w:link w:val="a6"/>
    <w:uiPriority w:val="11"/>
    <w:rPr>
      <w:color w:val="595959"/>
      <w:spacing w:val="15"/>
      <w:sz w:val="28"/>
      <w:szCs w:val="28"/>
    </w:rPr>
  </w:style>
  <w:style w:type="paragraph" w:styleId="22">
    <w:name w:val="Quote"/>
    <w:basedOn w:val="a"/>
    <w:next w:val="a"/>
    <w:link w:val="23"/>
    <w:uiPriority w:val="29"/>
    <w:qFormat/>
    <w:pPr>
      <w:spacing w:before="160"/>
      <w:jc w:val="center"/>
    </w:pPr>
    <w:rPr>
      <w:i/>
      <w:iCs/>
      <w:color w:val="404040"/>
    </w:rPr>
  </w:style>
  <w:style w:type="character" w:customStyle="1" w:styleId="23">
    <w:name w:val="Цитата 2 Знак"/>
    <w:link w:val="22"/>
    <w:uiPriority w:val="29"/>
    <w:rPr>
      <w:i/>
      <w:iCs/>
      <w:color w:val="404040"/>
    </w:rPr>
  </w:style>
  <w:style w:type="paragraph" w:styleId="a8">
    <w:name w:val="List Paragraph"/>
    <w:basedOn w:val="a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9">
    <w:name w:val="Intense Emphasis"/>
    <w:uiPriority w:val="21"/>
    <w:qFormat/>
    <w:rPr>
      <w:i/>
      <w:iCs/>
      <w:color w:val="365F91"/>
    </w:rPr>
  </w:style>
  <w:style w:type="paragraph" w:styleId="aa">
    <w:name w:val="Intense Quote"/>
    <w:basedOn w:val="a"/>
    <w:next w:val="a"/>
    <w:link w:val="ab"/>
    <w:uiPriority w:val="30"/>
    <w:qFormat/>
    <w:pPr>
      <w:pBdr>
        <w:top w:val="single" w:sz="4" w:space="10" w:color="365F91"/>
        <w:bottom w:val="single" w:sz="4" w:space="10" w:color="365F91"/>
      </w:pBdr>
      <w:spacing w:before="360" w:after="360"/>
      <w:ind w:left="864" w:right="864"/>
      <w:jc w:val="center"/>
    </w:pPr>
    <w:rPr>
      <w:i/>
      <w:iCs/>
      <w:color w:val="365F91"/>
    </w:rPr>
  </w:style>
  <w:style w:type="character" w:customStyle="1" w:styleId="ab">
    <w:name w:val="Выделенная цитата Знак"/>
    <w:link w:val="aa"/>
    <w:uiPriority w:val="30"/>
    <w:rPr>
      <w:i/>
      <w:iCs/>
      <w:color w:val="365F91"/>
    </w:rPr>
  </w:style>
  <w:style w:type="character" w:styleId="ac">
    <w:name w:val="Intense Reference"/>
    <w:uiPriority w:val="32"/>
    <w:qFormat/>
    <w:rPr>
      <w:b/>
      <w:bCs/>
      <w:smallCaps/>
      <w:color w:val="365F91"/>
      <w:spacing w:val="5"/>
    </w:rPr>
  </w:style>
  <w:style w:type="paragraph" w:styleId="ad">
    <w:name w:val="No Spacing"/>
    <w:basedOn w:val="a"/>
    <w:uiPriority w:val="1"/>
    <w:qFormat/>
  </w:style>
  <w:style w:type="character" w:styleId="ae">
    <w:name w:val="Subtle Emphasis"/>
    <w:uiPriority w:val="19"/>
    <w:qFormat/>
    <w:rPr>
      <w:i/>
      <w:iCs/>
      <w:color w:val="404040"/>
    </w:rPr>
  </w:style>
  <w:style w:type="character" w:styleId="af">
    <w:name w:val="Emphasis"/>
    <w:uiPriority w:val="20"/>
    <w:qFormat/>
    <w:rPr>
      <w:i/>
      <w:iCs/>
    </w:rPr>
  </w:style>
  <w:style w:type="character" w:styleId="af0">
    <w:name w:val="Strong"/>
    <w:uiPriority w:val="22"/>
    <w:qFormat/>
    <w:rPr>
      <w:b/>
      <w:bCs/>
    </w:rPr>
  </w:style>
  <w:style w:type="character" w:styleId="af1">
    <w:name w:val="Subtle Reference"/>
    <w:uiPriority w:val="31"/>
    <w:qFormat/>
    <w:rPr>
      <w:smallCaps/>
      <w:color w:val="5A5A5A"/>
    </w:rPr>
  </w:style>
  <w:style w:type="character" w:styleId="af2">
    <w:name w:val="Book Title"/>
    <w:uiPriority w:val="33"/>
    <w:qFormat/>
    <w:rPr>
      <w:b/>
      <w:bCs/>
      <w:i/>
      <w:iCs/>
      <w:spacing w:val="5"/>
    </w:rPr>
  </w:style>
  <w:style w:type="paragraph" w:styleId="af3">
    <w:name w:val="header"/>
    <w:basedOn w:val="a"/>
    <w:link w:val="af4"/>
    <w:uiPriority w:val="99"/>
    <w:unhideWhenUsed/>
    <w:pPr>
      <w:tabs>
        <w:tab w:val="center" w:pos="4677"/>
        <w:tab w:val="right" w:pos="9355"/>
      </w:tabs>
    </w:pPr>
    <w:rPr>
      <w:lang w:val="en-US" w:eastAsia="en-US"/>
    </w:rPr>
  </w:style>
  <w:style w:type="character" w:customStyle="1" w:styleId="HeaderChar">
    <w:name w:val="Header Char"/>
    <w:basedOn w:val="a0"/>
    <w:uiPriority w:val="99"/>
  </w:style>
  <w:style w:type="paragraph" w:styleId="af5">
    <w:name w:val="footer"/>
    <w:basedOn w:val="a"/>
    <w:link w:val="af6"/>
    <w:uiPriority w:val="99"/>
    <w:unhideWhenUsed/>
    <w:pPr>
      <w:tabs>
        <w:tab w:val="center" w:pos="4677"/>
        <w:tab w:val="right" w:pos="9355"/>
      </w:tabs>
    </w:pPr>
    <w:rPr>
      <w:lang w:val="en-US" w:eastAsia="en-US"/>
    </w:rPr>
  </w:style>
  <w:style w:type="character" w:customStyle="1" w:styleId="FooterChar">
    <w:name w:val="Footer Char"/>
    <w:basedOn w:val="a0"/>
    <w:uiPriority w:val="99"/>
  </w:style>
  <w:style w:type="paragraph" w:styleId="af7">
    <w:name w:val="caption"/>
    <w:basedOn w:val="a"/>
    <w:next w:val="a"/>
    <w:uiPriority w:val="35"/>
    <w:unhideWhenUsed/>
    <w:qFormat/>
    <w:pPr>
      <w:spacing w:after="200"/>
    </w:pPr>
    <w:rPr>
      <w:i/>
      <w:iCs/>
      <w:color w:val="1F497D"/>
      <w:sz w:val="18"/>
      <w:szCs w:val="18"/>
    </w:rPr>
  </w:style>
  <w:style w:type="paragraph" w:styleId="af8">
    <w:name w:val="footnote text"/>
    <w:basedOn w:val="a"/>
    <w:link w:val="af9"/>
    <w:uiPriority w:val="99"/>
    <w:semiHidden/>
    <w:unhideWhenUsed/>
    <w:rPr>
      <w:sz w:val="20"/>
      <w:szCs w:val="20"/>
    </w:rPr>
  </w:style>
  <w:style w:type="character" w:customStyle="1" w:styleId="af9">
    <w:name w:val="Текст сноски Знак"/>
    <w:link w:val="af8"/>
    <w:uiPriority w:val="99"/>
    <w:semiHidden/>
    <w:rPr>
      <w:sz w:val="20"/>
      <w:szCs w:val="20"/>
    </w:rPr>
  </w:style>
  <w:style w:type="character" w:styleId="afa">
    <w:name w:val="footnote reference"/>
    <w:uiPriority w:val="99"/>
    <w:semiHidden/>
    <w:unhideWhenUsed/>
    <w:rPr>
      <w:vertAlign w:val="superscript"/>
    </w:rPr>
  </w:style>
  <w:style w:type="paragraph" w:styleId="afb">
    <w:name w:val="endnote text"/>
    <w:basedOn w:val="a"/>
    <w:link w:val="afc"/>
    <w:uiPriority w:val="99"/>
    <w:semiHidden/>
    <w:unhideWhenUsed/>
    <w:rPr>
      <w:sz w:val="20"/>
      <w:szCs w:val="20"/>
    </w:rPr>
  </w:style>
  <w:style w:type="character" w:customStyle="1" w:styleId="afc">
    <w:name w:val="Текст концевой сноски Знак"/>
    <w:link w:val="afb"/>
    <w:uiPriority w:val="99"/>
    <w:semiHidden/>
    <w:rPr>
      <w:sz w:val="20"/>
      <w:szCs w:val="20"/>
    </w:rPr>
  </w:style>
  <w:style w:type="character" w:styleId="afd">
    <w:name w:val="endnote reference"/>
    <w:uiPriority w:val="99"/>
    <w:semiHidden/>
    <w:unhideWhenUsed/>
    <w:rPr>
      <w:vertAlign w:val="superscript"/>
    </w:rPr>
  </w:style>
  <w:style w:type="character" w:styleId="afe">
    <w:name w:val="Hyperlink"/>
    <w:uiPriority w:val="99"/>
    <w:unhideWhenUsed/>
    <w:rPr>
      <w:color w:val="0000FF"/>
      <w:u w:val="single"/>
    </w:rPr>
  </w:style>
  <w:style w:type="character" w:styleId="aff">
    <w:name w:val="FollowedHyperlink"/>
    <w:uiPriority w:val="99"/>
    <w:semiHidden/>
    <w:unhideWhenUsed/>
    <w:rPr>
      <w:color w:val="800080"/>
      <w:u w:val="single"/>
    </w:rPr>
  </w:style>
  <w:style w:type="paragraph" w:styleId="12">
    <w:name w:val="toc 1"/>
    <w:basedOn w:val="a"/>
    <w:next w:val="a"/>
    <w:uiPriority w:val="39"/>
    <w:unhideWhenUsed/>
    <w:pPr>
      <w:spacing w:after="100"/>
    </w:pPr>
  </w:style>
  <w:style w:type="paragraph" w:styleId="24">
    <w:name w:val="toc 2"/>
    <w:basedOn w:val="a"/>
    <w:next w:val="a"/>
    <w:uiPriority w:val="39"/>
    <w:unhideWhenUsed/>
    <w:pPr>
      <w:spacing w:after="100"/>
      <w:ind w:left="220"/>
    </w:pPr>
  </w:style>
  <w:style w:type="paragraph" w:styleId="32">
    <w:name w:val="toc 3"/>
    <w:basedOn w:val="a"/>
    <w:next w:val="a"/>
    <w:uiPriority w:val="39"/>
    <w:unhideWhenUsed/>
    <w:pPr>
      <w:spacing w:after="100"/>
      <w:ind w:left="440"/>
    </w:pPr>
  </w:style>
  <w:style w:type="paragraph" w:styleId="42">
    <w:name w:val="toc 4"/>
    <w:basedOn w:val="a"/>
    <w:next w:val="a"/>
    <w:uiPriority w:val="39"/>
    <w:unhideWhenUsed/>
    <w:pPr>
      <w:spacing w:after="100"/>
      <w:ind w:left="660"/>
    </w:pPr>
  </w:style>
  <w:style w:type="paragraph" w:styleId="52">
    <w:name w:val="toc 5"/>
    <w:basedOn w:val="a"/>
    <w:next w:val="a"/>
    <w:uiPriority w:val="39"/>
    <w:unhideWhenUsed/>
    <w:pPr>
      <w:spacing w:after="100"/>
      <w:ind w:left="880"/>
    </w:pPr>
  </w:style>
  <w:style w:type="paragraph" w:styleId="61">
    <w:name w:val="toc 6"/>
    <w:basedOn w:val="a"/>
    <w:next w:val="a"/>
    <w:uiPriority w:val="39"/>
    <w:unhideWhenUsed/>
    <w:pPr>
      <w:spacing w:after="100"/>
      <w:ind w:left="1100"/>
    </w:pPr>
  </w:style>
  <w:style w:type="paragraph" w:styleId="71">
    <w:name w:val="toc 7"/>
    <w:basedOn w:val="a"/>
    <w:next w:val="a"/>
    <w:uiPriority w:val="39"/>
    <w:unhideWhenUsed/>
    <w:pPr>
      <w:spacing w:after="100"/>
      <w:ind w:left="1320"/>
    </w:pPr>
  </w:style>
  <w:style w:type="paragraph" w:styleId="81">
    <w:name w:val="toc 8"/>
    <w:basedOn w:val="a"/>
    <w:next w:val="a"/>
    <w:uiPriority w:val="39"/>
    <w:unhideWhenUsed/>
    <w:pPr>
      <w:spacing w:after="100"/>
      <w:ind w:left="1540"/>
    </w:pPr>
  </w:style>
  <w:style w:type="paragraph" w:styleId="91">
    <w:name w:val="toc 9"/>
    <w:basedOn w:val="a"/>
    <w:next w:val="a"/>
    <w:uiPriority w:val="39"/>
    <w:unhideWhenUsed/>
    <w:pPr>
      <w:spacing w:after="100"/>
      <w:ind w:left="1760"/>
    </w:pPr>
  </w:style>
  <w:style w:type="character" w:styleId="aff0">
    <w:name w:val="Placeholder Text"/>
    <w:uiPriority w:val="99"/>
    <w:semiHidden/>
    <w:rPr>
      <w:color w:val="666666"/>
    </w:rPr>
  </w:style>
  <w:style w:type="paragraph" w:styleId="aff1">
    <w:name w:val="TOC Heading"/>
    <w:uiPriority w:val="39"/>
    <w:unhideWhenUsed/>
    <w:rPr>
      <w:lang w:eastAsia="zh-CN"/>
    </w:rPr>
  </w:style>
  <w:style w:type="paragraph" w:styleId="aff2">
    <w:name w:val="table of figures"/>
    <w:basedOn w:val="a"/>
    <w:next w:val="a"/>
    <w:uiPriority w:val="99"/>
    <w:unhideWhenUsed/>
  </w:style>
  <w:style w:type="character" w:customStyle="1" w:styleId="20">
    <w:name w:val="Заголовок 2 Знак"/>
    <w:link w:val="2"/>
    <w:rPr>
      <w:rFonts w:ascii="Tahoma" w:eastAsia="Times New Roman" w:hAnsi="Tahoma" w:cs="Times New Roman"/>
      <w:b/>
      <w:sz w:val="20"/>
      <w:szCs w:val="20"/>
      <w:lang w:val="en-GB"/>
    </w:rPr>
  </w:style>
  <w:style w:type="character" w:customStyle="1" w:styleId="a5">
    <w:name w:val="Заголовок Знак"/>
    <w:link w:val="a4"/>
    <w:rPr>
      <w:rFonts w:ascii="Arial" w:eastAsia="Times New Roman" w:hAnsi="Arial" w:cs="Times New Roman"/>
      <w:b/>
      <w:szCs w:val="20"/>
      <w:lang w:val="en-US"/>
    </w:rPr>
  </w:style>
  <w:style w:type="paragraph" w:styleId="aff3">
    <w:name w:val="Body Text Indent"/>
    <w:basedOn w:val="a"/>
    <w:link w:val="aff4"/>
    <w:pPr>
      <w:jc w:val="both"/>
    </w:pPr>
    <w:rPr>
      <w:rFonts w:ascii="Tahoma" w:hAnsi="Tahoma"/>
      <w:sz w:val="16"/>
      <w:szCs w:val="20"/>
      <w:lang w:val="en-US"/>
    </w:rPr>
  </w:style>
  <w:style w:type="character" w:customStyle="1" w:styleId="aff4">
    <w:name w:val="Основной текст с отступом Знак"/>
    <w:link w:val="aff3"/>
    <w:rPr>
      <w:rFonts w:ascii="Tahoma" w:eastAsia="Times New Roman" w:hAnsi="Tahoma" w:cs="Times New Roman"/>
      <w:sz w:val="16"/>
      <w:szCs w:val="20"/>
      <w:lang w:eastAsia="ru-RU"/>
    </w:rPr>
  </w:style>
  <w:style w:type="paragraph" w:styleId="33">
    <w:name w:val="Body Text 3"/>
    <w:basedOn w:val="a"/>
    <w:link w:val="34"/>
    <w:pPr>
      <w:jc w:val="both"/>
    </w:pPr>
    <w:rPr>
      <w:rFonts w:ascii="Tahoma" w:hAnsi="Tahoma"/>
      <w:color w:val="000080"/>
      <w:sz w:val="20"/>
      <w:szCs w:val="20"/>
      <w:lang w:val="en-US" w:eastAsia="en-US"/>
    </w:rPr>
  </w:style>
  <w:style w:type="character" w:customStyle="1" w:styleId="34">
    <w:name w:val="Основной текст 3 Знак"/>
    <w:link w:val="33"/>
    <w:rPr>
      <w:rFonts w:ascii="Tahoma" w:eastAsia="Times New Roman" w:hAnsi="Tahoma" w:cs="Times New Roman"/>
      <w:color w:val="000080"/>
      <w:sz w:val="20"/>
      <w:szCs w:val="20"/>
    </w:rPr>
  </w:style>
  <w:style w:type="paragraph" w:styleId="25">
    <w:name w:val="Body Text 2"/>
    <w:basedOn w:val="a"/>
    <w:link w:val="26"/>
    <w:pPr>
      <w:ind w:right="34"/>
      <w:jc w:val="both"/>
    </w:pPr>
    <w:rPr>
      <w:rFonts w:ascii="Tahoma" w:hAnsi="Tahoma"/>
      <w:sz w:val="20"/>
      <w:szCs w:val="20"/>
      <w:lang w:val="en-US" w:eastAsia="en-US"/>
    </w:rPr>
  </w:style>
  <w:style w:type="character" w:customStyle="1" w:styleId="26">
    <w:name w:val="Основной текст 2 Знак"/>
    <w:link w:val="25"/>
    <w:rPr>
      <w:rFonts w:ascii="Tahoma" w:eastAsia="Times New Roman" w:hAnsi="Tahoma" w:cs="Times New Roman"/>
      <w:sz w:val="20"/>
      <w:szCs w:val="20"/>
    </w:rPr>
  </w:style>
  <w:style w:type="paragraph" w:styleId="27">
    <w:name w:val="Body Text Indent 2"/>
    <w:basedOn w:val="a"/>
    <w:link w:val="28"/>
    <w:pPr>
      <w:tabs>
        <w:tab w:val="left" w:pos="459"/>
      </w:tabs>
      <w:ind w:left="459" w:hanging="459"/>
      <w:jc w:val="both"/>
    </w:pPr>
    <w:rPr>
      <w:rFonts w:ascii="Arial" w:hAnsi="Arial"/>
      <w:sz w:val="20"/>
      <w:szCs w:val="20"/>
      <w:lang w:val="en-US"/>
    </w:rPr>
  </w:style>
  <w:style w:type="character" w:customStyle="1" w:styleId="28">
    <w:name w:val="Основной текст с отступом 2 Знак"/>
    <w:link w:val="27"/>
    <w:rPr>
      <w:rFonts w:ascii="Arial" w:eastAsia="Times New Roman" w:hAnsi="Arial" w:cs="Times New Roman"/>
      <w:szCs w:val="20"/>
      <w:lang w:val="en-US" w:eastAsia="ru-RU"/>
    </w:rPr>
  </w:style>
  <w:style w:type="paragraph" w:styleId="35">
    <w:name w:val="Body Text Indent 3"/>
    <w:basedOn w:val="a"/>
    <w:link w:val="36"/>
    <w:pPr>
      <w:ind w:left="459" w:hanging="426"/>
      <w:jc w:val="both"/>
    </w:pPr>
    <w:rPr>
      <w:rFonts w:ascii="Arial" w:hAnsi="Arial"/>
      <w:sz w:val="20"/>
      <w:szCs w:val="20"/>
      <w:lang w:val="en-US"/>
    </w:rPr>
  </w:style>
  <w:style w:type="character" w:customStyle="1" w:styleId="36">
    <w:name w:val="Основной текст с отступом 3 Знак"/>
    <w:link w:val="35"/>
    <w:rPr>
      <w:rFonts w:ascii="Arial" w:eastAsia="Times New Roman" w:hAnsi="Arial" w:cs="Times New Roman"/>
      <w:szCs w:val="20"/>
      <w:lang w:eastAsia="ru-RU"/>
    </w:rPr>
  </w:style>
  <w:style w:type="character" w:styleId="aff5">
    <w:name w:val="page number"/>
    <w:basedOn w:val="a0"/>
  </w:style>
  <w:style w:type="character" w:customStyle="1" w:styleId="af4">
    <w:name w:val="Верхний колонтитул Знак"/>
    <w:link w:val="af3"/>
    <w:uiPriority w:val="99"/>
    <w:rPr>
      <w:rFonts w:ascii="Times New Roman" w:eastAsia="Times New Roman" w:hAnsi="Times New Roman"/>
      <w:sz w:val="24"/>
      <w:szCs w:val="24"/>
    </w:rPr>
  </w:style>
  <w:style w:type="character" w:customStyle="1" w:styleId="af6">
    <w:name w:val="Нижний колонтитул Знак"/>
    <w:link w:val="af5"/>
    <w:uiPriority w:val="99"/>
    <w:rPr>
      <w:rFonts w:ascii="Times New Roman" w:eastAsia="Times New Roman" w:hAnsi="Times New Roman"/>
      <w:sz w:val="24"/>
      <w:szCs w:val="24"/>
    </w:rPr>
  </w:style>
  <w:style w:type="paragraph" w:styleId="aff6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customStyle="1" w:styleId="apple-converted-space">
    <w:name w:val="apple-converted-space"/>
  </w:style>
  <w:style w:type="paragraph" w:styleId="aff7">
    <w:name w:val="annotation text"/>
    <w:basedOn w:val="a"/>
    <w:link w:val="aff8"/>
    <w:unhideWhenUsed/>
    <w:pPr>
      <w:widowControl w:val="0"/>
      <w:spacing w:after="200"/>
    </w:pPr>
    <w:rPr>
      <w:rFonts w:ascii="Calibri" w:eastAsia="Calibri" w:hAnsi="Calibri"/>
      <w:sz w:val="20"/>
      <w:szCs w:val="20"/>
      <w:lang w:val="en-US" w:eastAsia="en-US"/>
    </w:rPr>
  </w:style>
  <w:style w:type="character" w:customStyle="1" w:styleId="aff8">
    <w:name w:val="Текст примечания Знак"/>
    <w:link w:val="aff7"/>
    <w:rPr>
      <w:lang w:val="en-US" w:eastAsia="en-US"/>
    </w:rPr>
  </w:style>
  <w:style w:type="paragraph" w:customStyle="1" w:styleId="13">
    <w:name w:val="???????1"/>
    <w:rPr>
      <w:rFonts w:ascii="Times New Roman" w:eastAsia="Times New Roman" w:hAnsi="Times New Roman"/>
      <w:lang w:eastAsia="zh-TW"/>
    </w:rPr>
  </w:style>
  <w:style w:type="character" w:customStyle="1" w:styleId="40">
    <w:name w:val="Заголовок 4 Знак"/>
    <w:link w:val="4"/>
    <w:uiPriority w:val="9"/>
    <w:semiHidden/>
    <w:rPr>
      <w:rFonts w:ascii="Calibri" w:eastAsia="Times New Roman" w:hAnsi="Calibri" w:cs="Times New Roman"/>
      <w:b/>
      <w:bCs/>
      <w:sz w:val="28"/>
      <w:szCs w:val="28"/>
    </w:rPr>
  </w:style>
  <w:style w:type="character" w:styleId="aff9">
    <w:name w:val="annotation reference"/>
    <w:uiPriority w:val="99"/>
    <w:semiHidden/>
    <w:unhideWhenUsed/>
    <w:rPr>
      <w:sz w:val="16"/>
      <w:szCs w:val="16"/>
    </w:rPr>
  </w:style>
  <w:style w:type="paragraph" w:styleId="affa">
    <w:name w:val="annotation subject"/>
    <w:basedOn w:val="aff7"/>
    <w:next w:val="aff7"/>
    <w:link w:val="affb"/>
    <w:uiPriority w:val="99"/>
    <w:semiHidden/>
    <w:unhideWhenUsed/>
    <w:pPr>
      <w:widowControl/>
      <w:spacing w:after="0"/>
    </w:pPr>
    <w:rPr>
      <w:rFonts w:ascii="Times New Roman" w:eastAsia="Times New Roman" w:hAnsi="Times New Roman"/>
      <w:b/>
      <w:bCs/>
      <w:lang w:val="ru-RU" w:eastAsia="ru-RU"/>
    </w:rPr>
  </w:style>
  <w:style w:type="character" w:customStyle="1" w:styleId="affb">
    <w:name w:val="Тема примечания Знак"/>
    <w:link w:val="affa"/>
    <w:uiPriority w:val="99"/>
    <w:semiHidden/>
    <w:rPr>
      <w:rFonts w:ascii="Times New Roman" w:eastAsia="Times New Roman" w:hAnsi="Times New Roman"/>
      <w:b/>
      <w:bCs/>
      <w:lang w:val="en-US" w:eastAsia="en-US"/>
    </w:rPr>
  </w:style>
  <w:style w:type="paragraph" w:styleId="affc">
    <w:name w:val="Balloon Text"/>
    <w:basedOn w:val="a"/>
    <w:link w:val="affd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affd">
    <w:name w:val="Текст выноски Знак"/>
    <w:link w:val="affc"/>
    <w:uiPriority w:val="99"/>
    <w:semiHidden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3150</Words>
  <Characters>17956</Characters>
  <Application>Microsoft Office Word</Application>
  <DocSecurity>0</DocSecurity>
  <Lines>149</Lines>
  <Paragraphs>42</Paragraphs>
  <ScaleCrop>false</ScaleCrop>
  <Company>diakov.net</Company>
  <LinksUpToDate>false</LinksUpToDate>
  <CharactersWithSpaces>21064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transportation</dc:creator>
  <cp:lastModifiedBy>almas sagynbaev</cp:lastModifiedBy>
  <cp:revision>27</cp:revision>
  <dcterms:created xsi:type="dcterms:W3CDTF">2023-07-18T07:29:00Z</dcterms:created>
  <dcterms:modified xsi:type="dcterms:W3CDTF">2026-07-03T04:54:00Z</dcterms:modified>
  <cp:version>1048576</cp:version>
</cp:coreProperties>
</file>